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5A1F" w14:textId="4FA1DE3E" w:rsidR="009E5D27" w:rsidRDefault="007220B3" w:rsidP="009E5D27">
      <w:pPr>
        <w:pStyle w:val="Titel"/>
        <w:spacing w:before="0" w:after="240"/>
        <w:outlineLvl w:val="9"/>
        <w:rPr>
          <w:rFonts w:ascii="Arial" w:hAnsi="Arial" w:cs="Arial"/>
          <w:sz w:val="28"/>
          <w:szCs w:val="28"/>
          <w:lang w:val="fr-FR"/>
        </w:rPr>
      </w:pPr>
      <w:r w:rsidRPr="009E5D27">
        <w:rPr>
          <w:rFonts w:ascii="Arial" w:hAnsi="Arial" w:cs="Arial"/>
          <w:sz w:val="28"/>
          <w:szCs w:val="28"/>
          <w:lang w:val="fr-FR"/>
        </w:rPr>
        <w:t xml:space="preserve">COL </w:t>
      </w:r>
      <w:r w:rsidR="009E5D27" w:rsidRPr="009E5D27">
        <w:rPr>
          <w:rFonts w:ascii="Arial" w:hAnsi="Arial" w:cs="Arial"/>
          <w:sz w:val="28"/>
          <w:szCs w:val="28"/>
          <w:lang w:val="fr-FR"/>
        </w:rPr>
        <w:t>13</w:t>
      </w:r>
      <w:r w:rsidR="00977EE4" w:rsidRPr="009E5D27">
        <w:rPr>
          <w:rFonts w:ascii="Arial" w:hAnsi="Arial" w:cs="Arial"/>
          <w:sz w:val="28"/>
          <w:szCs w:val="28"/>
          <w:lang w:val="fr-FR"/>
        </w:rPr>
        <w:t>/20</w:t>
      </w:r>
      <w:r w:rsidR="009E5D27" w:rsidRPr="009E5D27">
        <w:rPr>
          <w:rFonts w:ascii="Arial" w:hAnsi="Arial" w:cs="Arial"/>
          <w:sz w:val="28"/>
          <w:szCs w:val="28"/>
          <w:lang w:val="fr-FR"/>
        </w:rPr>
        <w:t>13 (version 25.01.2024)</w:t>
      </w:r>
    </w:p>
    <w:p w14:paraId="14B427BB" w14:textId="2694D69F" w:rsidR="00AF7315" w:rsidRPr="009E5D27" w:rsidRDefault="009E5D27" w:rsidP="009E5D27">
      <w:pPr>
        <w:pStyle w:val="Titel"/>
        <w:spacing w:before="0" w:after="240"/>
        <w:outlineLvl w:val="9"/>
        <w:rPr>
          <w:rFonts w:ascii="Arial" w:hAnsi="Arial" w:cs="Arial"/>
          <w:sz w:val="28"/>
          <w:szCs w:val="28"/>
          <w:lang w:val="fr-BE"/>
        </w:rPr>
      </w:pPr>
      <w:r w:rsidRPr="009E5D27">
        <w:rPr>
          <w:rFonts w:ascii="Arial" w:hAnsi="Arial" w:cs="Arial"/>
          <w:smallCaps/>
          <w:sz w:val="28"/>
          <w:szCs w:val="28"/>
          <w:lang w:val="fr-FR"/>
        </w:rPr>
        <w:t>politique en matière de lutte judiciaire contre les discriminations (en ce compris les délits de haine, le négationnisme et les discriminations fondées sur le sexe)</w:t>
      </w:r>
    </w:p>
    <w:p w14:paraId="5E64EE99" w14:textId="77777777" w:rsidR="00DE77F9" w:rsidRPr="009E5D27" w:rsidRDefault="0064367B" w:rsidP="00AF7315">
      <w:pPr>
        <w:pStyle w:val="Titel"/>
        <w:spacing w:before="0" w:after="240"/>
        <w:outlineLvl w:val="9"/>
        <w:rPr>
          <w:rFonts w:ascii="Arial" w:hAnsi="Arial" w:cs="Arial"/>
          <w:caps/>
          <w:lang w:val="fr-FR"/>
        </w:rPr>
      </w:pPr>
      <w:r w:rsidRPr="009E5D27">
        <w:rPr>
          <w:rFonts w:ascii="Arial" w:hAnsi="Arial" w:cs="Arial"/>
          <w:caps/>
          <w:lang w:val="fr-FR"/>
        </w:rPr>
        <w:t>Synthè</w:t>
      </w:r>
      <w:r w:rsidR="00364173" w:rsidRPr="009E5D27">
        <w:rPr>
          <w:rFonts w:ascii="Arial" w:hAnsi="Arial" w:cs="Arial"/>
          <w:caps/>
          <w:lang w:val="fr-FR"/>
        </w:rPr>
        <w:t>se</w:t>
      </w:r>
    </w:p>
    <w:p w14:paraId="4F29E1FC" w14:textId="77777777" w:rsidR="009E5D27" w:rsidRDefault="009E5D27" w:rsidP="009E5D27">
      <w:pPr>
        <w:spacing w:after="160" w:line="259" w:lineRule="auto"/>
        <w:jc w:val="left"/>
        <w:rPr>
          <w:rFonts w:eastAsia="Calibri"/>
          <w:szCs w:val="22"/>
          <w:lang w:val="fr-BE"/>
        </w:rPr>
      </w:pPr>
    </w:p>
    <w:p w14:paraId="37A0AC4D" w14:textId="6A516202" w:rsidR="009E5D27" w:rsidRPr="009E5D27" w:rsidRDefault="009E5D27" w:rsidP="005F3416">
      <w:pPr>
        <w:spacing w:after="160" w:line="259" w:lineRule="auto"/>
        <w:rPr>
          <w:rFonts w:eastAsia="Calibri"/>
          <w:szCs w:val="22"/>
          <w:lang w:val="fr-BE"/>
        </w:rPr>
      </w:pPr>
      <w:r w:rsidRPr="009E5D27">
        <w:rPr>
          <w:rFonts w:eastAsia="Calibri"/>
          <w:szCs w:val="22"/>
          <w:lang w:val="fr-BE"/>
        </w:rPr>
        <w:t>La circulaire est conçue comme un outil complet visant à uniformiser les politiques de lutte judiciaire contre les discriminations. Elle aborde les volets pénal mais également civil de la législation tendant à lutter contre les discriminations et s’adresse aussi bien aux parquets et aux services de police qu’aux auditorats et aux services d’inspection.</w:t>
      </w:r>
    </w:p>
    <w:p w14:paraId="29FED300"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 xml:space="preserve">La circulaire aborde surtout les infractions contenues dans la législation fédérale qui sont plus souvent mobilisées mais rappelle que les législations des entités fédérées contiennent également des dispositions pénales. </w:t>
      </w:r>
    </w:p>
    <w:p w14:paraId="2FF1765A" w14:textId="33C27718" w:rsidR="009E5D27" w:rsidRPr="009E5D27" w:rsidRDefault="009E5D27" w:rsidP="005F3416">
      <w:pPr>
        <w:spacing w:after="160" w:line="259" w:lineRule="auto"/>
        <w:rPr>
          <w:rFonts w:eastAsia="Calibri"/>
          <w:szCs w:val="22"/>
          <w:lang w:val="fr-BE"/>
        </w:rPr>
      </w:pPr>
      <w:r w:rsidRPr="009E5D27">
        <w:rPr>
          <w:rFonts w:eastAsia="Calibri"/>
          <w:szCs w:val="22"/>
          <w:lang w:val="fr-BE"/>
        </w:rPr>
        <w:t xml:space="preserve">Une </w:t>
      </w:r>
      <w:r w:rsidRPr="009E5D27">
        <w:rPr>
          <w:rFonts w:eastAsia="Calibri"/>
          <w:b/>
          <w:bCs/>
          <w:szCs w:val="22"/>
          <w:u w:val="single"/>
          <w:lang w:val="fr-BE"/>
        </w:rPr>
        <w:t>typologie des infractions</w:t>
      </w:r>
      <w:r w:rsidRPr="009E5D27">
        <w:rPr>
          <w:rFonts w:eastAsia="Calibri"/>
          <w:szCs w:val="22"/>
          <w:lang w:val="fr-BE"/>
        </w:rPr>
        <w:t xml:space="preserve"> est proposée dans le but de faciliter la compréhension de cette législation complexe. Elle distingue </w:t>
      </w:r>
      <w:r w:rsidR="005F3416">
        <w:rPr>
          <w:rFonts w:eastAsia="Calibri"/>
          <w:szCs w:val="22"/>
          <w:lang w:val="fr-BE"/>
        </w:rPr>
        <w:t>deux</w:t>
      </w:r>
      <w:r w:rsidR="005F3416" w:rsidRPr="009E5D27">
        <w:rPr>
          <w:rFonts w:eastAsia="Calibri"/>
          <w:szCs w:val="22"/>
          <w:lang w:val="fr-BE"/>
        </w:rPr>
        <w:t xml:space="preserve"> </w:t>
      </w:r>
      <w:r w:rsidRPr="009E5D27">
        <w:rPr>
          <w:rFonts w:eastAsia="Calibri"/>
          <w:szCs w:val="22"/>
          <w:lang w:val="fr-BE"/>
        </w:rPr>
        <w:t>grandes catégories d’infractions que sont :</w:t>
      </w:r>
    </w:p>
    <w:p w14:paraId="5D561BE2" w14:textId="77777777" w:rsidR="009E5D27" w:rsidRPr="009E5D27" w:rsidRDefault="009E5D27" w:rsidP="005F3416">
      <w:pPr>
        <w:numPr>
          <w:ilvl w:val="0"/>
          <w:numId w:val="20"/>
        </w:numPr>
        <w:spacing w:after="160" w:line="259" w:lineRule="auto"/>
        <w:contextualSpacing/>
        <w:rPr>
          <w:rFonts w:eastAsia="Calibri"/>
          <w:szCs w:val="22"/>
          <w:lang w:val="fr-BE"/>
        </w:rPr>
      </w:pPr>
      <w:r w:rsidRPr="009E5D27">
        <w:rPr>
          <w:rFonts w:eastAsia="Calibri"/>
          <w:b/>
          <w:bCs/>
          <w:szCs w:val="22"/>
          <w:lang w:val="fr-BE"/>
        </w:rPr>
        <w:t>les crimes et délits de haine</w:t>
      </w:r>
      <w:r w:rsidRPr="009E5D27">
        <w:rPr>
          <w:rFonts w:eastAsia="Calibri"/>
          <w:szCs w:val="22"/>
          <w:lang w:val="fr-BE"/>
        </w:rPr>
        <w:t xml:space="preserve">, soit les infractions non spécifiques à la législation tendant à lutter contre les discriminations dont l’un des mobiles est la haine, le mépris ou l’hostilité à l’égard d’une personne en raison de l’un des critères protégés par la loi, on parle de mobile « discriminatoire » ou « haineux ». </w:t>
      </w:r>
    </w:p>
    <w:p w14:paraId="4B7887FD" w14:textId="77777777" w:rsidR="009E5D27" w:rsidRPr="009E5D27" w:rsidRDefault="009E5D27" w:rsidP="005F3416">
      <w:pPr>
        <w:spacing w:line="259" w:lineRule="auto"/>
        <w:ind w:left="720"/>
        <w:rPr>
          <w:rFonts w:eastAsia="Calibri"/>
          <w:szCs w:val="22"/>
          <w:lang w:val="fr-BE"/>
        </w:rPr>
      </w:pPr>
      <w:r w:rsidRPr="009E5D27">
        <w:rPr>
          <w:rFonts w:eastAsia="Calibri"/>
          <w:szCs w:val="22"/>
          <w:lang w:val="fr-BE"/>
        </w:rPr>
        <w:t xml:space="preserve">Ce mobile discriminatoire est appréhendé par le législateur soit sous la forme d’une </w:t>
      </w:r>
      <w:r w:rsidRPr="009E5D27">
        <w:rPr>
          <w:rFonts w:eastAsia="Calibri"/>
          <w:b/>
          <w:bCs/>
          <w:szCs w:val="22"/>
          <w:lang w:val="fr-BE"/>
        </w:rPr>
        <w:t>circonstance aggravante</w:t>
      </w:r>
      <w:r w:rsidRPr="009E5D27">
        <w:rPr>
          <w:rFonts w:eastAsia="Calibri"/>
          <w:szCs w:val="22"/>
          <w:lang w:val="fr-BE"/>
        </w:rPr>
        <w:t xml:space="preserve"> prévue par le Code pénal pour un nombre limité d’infractions qui sont listées dans la circulaire, soit sous la forme d’un </w:t>
      </w:r>
      <w:r w:rsidRPr="009E5D27">
        <w:rPr>
          <w:rFonts w:eastAsia="Calibri"/>
          <w:b/>
          <w:bCs/>
          <w:szCs w:val="22"/>
          <w:lang w:val="fr-BE"/>
        </w:rPr>
        <w:t>facteur aggravant général</w:t>
      </w:r>
      <w:r w:rsidRPr="009E5D27">
        <w:rPr>
          <w:rFonts w:eastAsia="Calibri"/>
          <w:szCs w:val="22"/>
          <w:lang w:val="fr-BE"/>
        </w:rPr>
        <w:t xml:space="preserve"> introduit par une loi du 6 décembre 2022.</w:t>
      </w:r>
    </w:p>
    <w:p w14:paraId="6A05DB69" w14:textId="77777777" w:rsidR="009E5D27" w:rsidRPr="009E5D27" w:rsidRDefault="009E5D27" w:rsidP="005F3416">
      <w:pPr>
        <w:spacing w:line="259" w:lineRule="auto"/>
        <w:ind w:left="720"/>
        <w:rPr>
          <w:rFonts w:eastAsia="Calibri"/>
          <w:szCs w:val="22"/>
          <w:lang w:val="fr-BE"/>
        </w:rPr>
      </w:pPr>
      <w:r w:rsidRPr="009E5D27">
        <w:rPr>
          <w:rFonts w:eastAsia="Calibri"/>
          <w:szCs w:val="22"/>
          <w:lang w:val="fr-BE"/>
        </w:rPr>
        <w:t xml:space="preserve">Ces notions sont précisées et explicitées, les </w:t>
      </w:r>
      <w:r w:rsidRPr="009E5D27">
        <w:rPr>
          <w:rFonts w:eastAsia="Calibri"/>
          <w:b/>
          <w:bCs/>
          <w:szCs w:val="22"/>
          <w:lang w:val="fr-BE"/>
        </w:rPr>
        <w:t>critères protégés</w:t>
      </w:r>
      <w:r w:rsidRPr="009E5D27">
        <w:rPr>
          <w:rFonts w:eastAsia="Calibri"/>
          <w:szCs w:val="22"/>
          <w:lang w:val="fr-BE"/>
        </w:rPr>
        <w:t xml:space="preserve"> par la loi sont énumérés.</w:t>
      </w:r>
    </w:p>
    <w:p w14:paraId="7DBF3790" w14:textId="77777777" w:rsidR="009E5D27" w:rsidRPr="009E5D27" w:rsidRDefault="009E5D27" w:rsidP="005F3416">
      <w:pPr>
        <w:spacing w:line="259" w:lineRule="auto"/>
        <w:ind w:left="720"/>
        <w:rPr>
          <w:rFonts w:eastAsia="Calibri"/>
          <w:szCs w:val="22"/>
          <w:lang w:val="fr-BE"/>
        </w:rPr>
      </w:pPr>
    </w:p>
    <w:p w14:paraId="2BC38926" w14:textId="77777777" w:rsidR="009E5D27" w:rsidRPr="009E5D27" w:rsidRDefault="009E5D27" w:rsidP="005F3416">
      <w:pPr>
        <w:spacing w:line="259" w:lineRule="auto"/>
        <w:ind w:left="720"/>
        <w:rPr>
          <w:rFonts w:eastAsia="Calibri"/>
          <w:szCs w:val="22"/>
          <w:lang w:val="fr-BE"/>
        </w:rPr>
      </w:pPr>
      <w:r w:rsidRPr="009E5D27">
        <w:rPr>
          <w:rFonts w:eastAsia="Calibri"/>
          <w:szCs w:val="22"/>
          <w:lang w:val="fr-BE"/>
        </w:rPr>
        <w:t xml:space="preserve">Des </w:t>
      </w:r>
      <w:r w:rsidRPr="009E5D27">
        <w:rPr>
          <w:rFonts w:eastAsia="Calibri"/>
          <w:b/>
          <w:bCs/>
          <w:szCs w:val="22"/>
          <w:lang w:val="fr-BE"/>
        </w:rPr>
        <w:t>indicateurs</w:t>
      </w:r>
      <w:r w:rsidRPr="009E5D27">
        <w:rPr>
          <w:rFonts w:eastAsia="Calibri"/>
          <w:szCs w:val="22"/>
          <w:lang w:val="fr-BE"/>
        </w:rPr>
        <w:t xml:space="preserve"> qui peuvent aider à identifier un crime ou un délit de haine sont listés.</w:t>
      </w:r>
    </w:p>
    <w:p w14:paraId="077137C5" w14:textId="77777777" w:rsidR="009E5D27" w:rsidRPr="009E5D27" w:rsidRDefault="009E5D27" w:rsidP="005F3416">
      <w:pPr>
        <w:spacing w:line="259" w:lineRule="auto"/>
        <w:rPr>
          <w:rFonts w:eastAsia="Calibri"/>
          <w:szCs w:val="22"/>
          <w:lang w:val="fr-BE"/>
        </w:rPr>
      </w:pPr>
    </w:p>
    <w:p w14:paraId="1D75468D" w14:textId="77777777" w:rsidR="009E5D27" w:rsidRPr="009E5D27" w:rsidRDefault="009E5D27" w:rsidP="005F3416">
      <w:pPr>
        <w:numPr>
          <w:ilvl w:val="0"/>
          <w:numId w:val="20"/>
        </w:numPr>
        <w:spacing w:after="160" w:line="259" w:lineRule="auto"/>
        <w:contextualSpacing/>
        <w:rPr>
          <w:rFonts w:eastAsia="Calibri"/>
          <w:szCs w:val="22"/>
          <w:lang w:val="fr-BE"/>
        </w:rPr>
      </w:pPr>
      <w:r w:rsidRPr="009E5D27">
        <w:rPr>
          <w:rFonts w:eastAsia="Calibri"/>
          <w:szCs w:val="22"/>
          <w:lang w:val="fr-BE"/>
        </w:rPr>
        <w:t xml:space="preserve">Les </w:t>
      </w:r>
      <w:r w:rsidRPr="009E5D27">
        <w:rPr>
          <w:rFonts w:eastAsia="Calibri"/>
          <w:b/>
          <w:bCs/>
          <w:szCs w:val="22"/>
          <w:lang w:val="fr-BE"/>
        </w:rPr>
        <w:t>infractions spécifiques</w:t>
      </w:r>
      <w:r w:rsidRPr="009E5D27">
        <w:rPr>
          <w:rFonts w:eastAsia="Calibri"/>
          <w:szCs w:val="22"/>
          <w:lang w:val="fr-BE"/>
        </w:rPr>
        <w:t xml:space="preserve"> à la législation tendant à lutter contre les discriminations, soit :</w:t>
      </w:r>
    </w:p>
    <w:p w14:paraId="37205BBA" w14:textId="77777777" w:rsidR="009E5D27" w:rsidRPr="009E5D27" w:rsidRDefault="009E5D27" w:rsidP="005F3416">
      <w:pPr>
        <w:spacing w:line="259" w:lineRule="auto"/>
        <w:ind w:left="720"/>
        <w:contextualSpacing/>
        <w:rPr>
          <w:rFonts w:eastAsia="Calibri"/>
          <w:szCs w:val="22"/>
          <w:lang w:val="fr-BE"/>
        </w:rPr>
      </w:pPr>
    </w:p>
    <w:p w14:paraId="6F6BB380" w14:textId="77777777" w:rsidR="009E5D27" w:rsidRPr="009E5D27" w:rsidRDefault="009E5D27" w:rsidP="005F3416">
      <w:pPr>
        <w:numPr>
          <w:ilvl w:val="0"/>
          <w:numId w:val="21"/>
        </w:numPr>
        <w:spacing w:after="160" w:line="259" w:lineRule="auto"/>
        <w:contextualSpacing/>
        <w:rPr>
          <w:rFonts w:eastAsia="Calibri"/>
          <w:szCs w:val="22"/>
          <w:lang w:val="fr-BE"/>
        </w:rPr>
      </w:pPr>
      <w:r w:rsidRPr="009E5D27">
        <w:rPr>
          <w:rFonts w:eastAsia="Calibri"/>
          <w:szCs w:val="22"/>
          <w:lang w:val="fr-BE"/>
        </w:rPr>
        <w:t xml:space="preserve">les infractions relevant de ce que l’on appelle le </w:t>
      </w:r>
      <w:r w:rsidRPr="009E5D27">
        <w:rPr>
          <w:rFonts w:eastAsia="Calibri"/>
          <w:b/>
          <w:bCs/>
          <w:szCs w:val="22"/>
          <w:lang w:val="fr-BE"/>
        </w:rPr>
        <w:t>« discours de haine »</w:t>
      </w:r>
      <w:r w:rsidRPr="009E5D27">
        <w:rPr>
          <w:rFonts w:eastAsia="Calibri"/>
          <w:szCs w:val="22"/>
          <w:lang w:val="fr-BE"/>
        </w:rPr>
        <w:t xml:space="preserve">, c’est-à-dire les infractions réprimées par des lois particulières qui consistent en des paroles, écrits, publications, voire gestes ou comportements vecteurs de discrimination, de haine ou de violence en raison de l’un des critères protégés par la loi, tenus dans les conditions de l’article 444 du Code Pénal : incitation à </w:t>
      </w:r>
      <w:r w:rsidRPr="009E5D27">
        <w:rPr>
          <w:rFonts w:eastAsia="Calibri"/>
          <w:szCs w:val="22"/>
          <w:lang w:val="fr-BE"/>
        </w:rPr>
        <w:lastRenderedPageBreak/>
        <w:t xml:space="preserve">la discrimination, la haine, la violence ou la ségrégation (art. 20 loi </w:t>
      </w:r>
      <w:proofErr w:type="spellStart"/>
      <w:r w:rsidRPr="009E5D27">
        <w:rPr>
          <w:rFonts w:eastAsia="Calibri"/>
          <w:szCs w:val="22"/>
          <w:lang w:val="fr-BE"/>
        </w:rPr>
        <w:t>anti-racisme</w:t>
      </w:r>
      <w:proofErr w:type="spellEnd"/>
      <w:r w:rsidRPr="009E5D27">
        <w:rPr>
          <w:rFonts w:eastAsia="Calibri"/>
          <w:szCs w:val="22"/>
          <w:lang w:val="fr-BE"/>
        </w:rPr>
        <w:t xml:space="preserve">, art. 22 loi anti-discrimination, art. 27 loi genre), diffusion d’idées fondées sur la supériorité ou la haine raciale (art. 21 loi </w:t>
      </w:r>
      <w:proofErr w:type="spellStart"/>
      <w:r w:rsidRPr="009E5D27">
        <w:rPr>
          <w:rFonts w:eastAsia="Calibri"/>
          <w:szCs w:val="22"/>
          <w:lang w:val="fr-BE"/>
        </w:rPr>
        <w:t>anti-racisme</w:t>
      </w:r>
      <w:proofErr w:type="spellEnd"/>
      <w:r w:rsidRPr="009E5D27">
        <w:rPr>
          <w:rFonts w:eastAsia="Calibri"/>
          <w:szCs w:val="22"/>
          <w:lang w:val="fr-BE"/>
        </w:rPr>
        <w:t xml:space="preserve">), appartenance à un groupe qui prône la ségrégation ou la discrimination en raison de critères raciaux ( art. 22 loi </w:t>
      </w:r>
      <w:proofErr w:type="spellStart"/>
      <w:r w:rsidRPr="009E5D27">
        <w:rPr>
          <w:rFonts w:eastAsia="Calibri"/>
          <w:szCs w:val="22"/>
          <w:lang w:val="fr-BE"/>
        </w:rPr>
        <w:t>anti-racisme</w:t>
      </w:r>
      <w:proofErr w:type="spellEnd"/>
      <w:r w:rsidRPr="009E5D27">
        <w:rPr>
          <w:rFonts w:eastAsia="Calibri"/>
          <w:szCs w:val="22"/>
          <w:lang w:val="fr-BE"/>
        </w:rPr>
        <w:t xml:space="preserve">), négationnisme ( art. 20 loi </w:t>
      </w:r>
      <w:proofErr w:type="spellStart"/>
      <w:r w:rsidRPr="009E5D27">
        <w:rPr>
          <w:rFonts w:eastAsia="Calibri"/>
          <w:szCs w:val="22"/>
          <w:lang w:val="fr-BE"/>
        </w:rPr>
        <w:t>anti-racisme</w:t>
      </w:r>
      <w:proofErr w:type="spellEnd"/>
      <w:r w:rsidRPr="009E5D27">
        <w:rPr>
          <w:rFonts w:eastAsia="Calibri"/>
          <w:szCs w:val="22"/>
          <w:lang w:val="fr-BE"/>
        </w:rPr>
        <w:t xml:space="preserve"> et loi négationnisme du 23 mars 1995) ;</w:t>
      </w:r>
    </w:p>
    <w:p w14:paraId="11D239E7" w14:textId="77777777" w:rsidR="009E5D27" w:rsidRPr="009E5D27" w:rsidRDefault="009E5D27" w:rsidP="005F3416">
      <w:pPr>
        <w:spacing w:line="259" w:lineRule="auto"/>
        <w:ind w:left="1125"/>
        <w:contextualSpacing/>
        <w:rPr>
          <w:rFonts w:eastAsia="Calibri"/>
          <w:szCs w:val="22"/>
          <w:lang w:val="fr-BE"/>
        </w:rPr>
      </w:pPr>
    </w:p>
    <w:p w14:paraId="490404E5" w14:textId="77777777" w:rsidR="009E5D27" w:rsidRPr="009E5D27" w:rsidRDefault="009E5D27" w:rsidP="005F3416">
      <w:pPr>
        <w:numPr>
          <w:ilvl w:val="0"/>
          <w:numId w:val="21"/>
        </w:numPr>
        <w:spacing w:after="160" w:line="259" w:lineRule="auto"/>
        <w:contextualSpacing/>
        <w:rPr>
          <w:rFonts w:eastAsia="Calibri"/>
          <w:szCs w:val="22"/>
          <w:lang w:val="fr-BE"/>
        </w:rPr>
      </w:pPr>
      <w:r w:rsidRPr="009E5D27">
        <w:rPr>
          <w:rFonts w:eastAsia="Calibri"/>
          <w:szCs w:val="22"/>
          <w:lang w:val="fr-BE"/>
        </w:rPr>
        <w:t xml:space="preserve">les </w:t>
      </w:r>
      <w:r w:rsidRPr="009E5D27">
        <w:rPr>
          <w:rFonts w:eastAsia="Calibri"/>
          <w:b/>
          <w:bCs/>
          <w:szCs w:val="22"/>
          <w:lang w:val="fr-BE"/>
        </w:rPr>
        <w:t>autres infractions spécifiques</w:t>
      </w:r>
      <w:r w:rsidRPr="009E5D27">
        <w:rPr>
          <w:rFonts w:eastAsia="Calibri"/>
          <w:szCs w:val="22"/>
          <w:lang w:val="fr-BE"/>
        </w:rPr>
        <w:t xml:space="preserve"> contenues dans la législation tendant à lutter contre les discriminations ;</w:t>
      </w:r>
    </w:p>
    <w:p w14:paraId="3A3CA4F3" w14:textId="77777777" w:rsidR="009E5D27" w:rsidRPr="009E5D27" w:rsidRDefault="009E5D27" w:rsidP="005F3416">
      <w:pPr>
        <w:spacing w:after="160" w:line="259" w:lineRule="auto"/>
        <w:ind w:left="720"/>
        <w:contextualSpacing/>
        <w:rPr>
          <w:rFonts w:eastAsia="Calibri"/>
          <w:szCs w:val="22"/>
          <w:lang w:val="fr-BE"/>
        </w:rPr>
      </w:pPr>
    </w:p>
    <w:p w14:paraId="4390DD5D" w14:textId="77777777" w:rsidR="009E5D27" w:rsidRPr="009E5D27" w:rsidRDefault="009E5D27" w:rsidP="005F3416">
      <w:pPr>
        <w:numPr>
          <w:ilvl w:val="0"/>
          <w:numId w:val="21"/>
        </w:numPr>
        <w:spacing w:after="160" w:line="259" w:lineRule="auto"/>
        <w:contextualSpacing/>
        <w:rPr>
          <w:rFonts w:eastAsia="Calibri"/>
          <w:szCs w:val="22"/>
          <w:lang w:val="fr-BE"/>
        </w:rPr>
      </w:pPr>
      <w:r w:rsidRPr="009E5D27">
        <w:rPr>
          <w:rFonts w:eastAsia="Calibri"/>
          <w:szCs w:val="22"/>
          <w:lang w:val="fr-BE"/>
        </w:rPr>
        <w:t xml:space="preserve">le </w:t>
      </w:r>
      <w:r w:rsidRPr="009E5D27">
        <w:rPr>
          <w:rFonts w:eastAsia="Calibri"/>
          <w:b/>
          <w:bCs/>
          <w:szCs w:val="22"/>
          <w:lang w:val="fr-BE"/>
        </w:rPr>
        <w:t>sexisme dans l’espace public</w:t>
      </w:r>
      <w:r w:rsidRPr="009E5D27">
        <w:rPr>
          <w:rFonts w:eastAsia="Calibri"/>
          <w:szCs w:val="22"/>
          <w:lang w:val="fr-BE"/>
        </w:rPr>
        <w:t> ;</w:t>
      </w:r>
    </w:p>
    <w:p w14:paraId="2788FF85" w14:textId="77777777" w:rsidR="009E5D27" w:rsidRPr="009E5D27" w:rsidRDefault="009E5D27" w:rsidP="005F3416">
      <w:pPr>
        <w:spacing w:after="160" w:line="259" w:lineRule="auto"/>
        <w:ind w:left="720"/>
        <w:contextualSpacing/>
        <w:rPr>
          <w:rFonts w:eastAsia="Calibri"/>
          <w:szCs w:val="22"/>
          <w:lang w:val="fr-BE"/>
        </w:rPr>
      </w:pPr>
    </w:p>
    <w:p w14:paraId="4DBF56C6" w14:textId="77777777" w:rsidR="009E5D27" w:rsidRPr="009E5D27" w:rsidRDefault="009E5D27" w:rsidP="005F3416">
      <w:pPr>
        <w:numPr>
          <w:ilvl w:val="0"/>
          <w:numId w:val="21"/>
        </w:numPr>
        <w:spacing w:after="160" w:line="259" w:lineRule="auto"/>
        <w:contextualSpacing/>
        <w:rPr>
          <w:rFonts w:eastAsia="Calibri"/>
          <w:szCs w:val="22"/>
          <w:lang w:val="fr-BE"/>
        </w:rPr>
      </w:pPr>
      <w:r w:rsidRPr="009E5D27">
        <w:rPr>
          <w:rFonts w:eastAsia="Calibri"/>
          <w:szCs w:val="22"/>
          <w:lang w:val="fr-BE"/>
        </w:rPr>
        <w:t xml:space="preserve">les </w:t>
      </w:r>
      <w:r w:rsidRPr="009E5D27">
        <w:rPr>
          <w:rFonts w:eastAsia="Calibri"/>
          <w:b/>
          <w:bCs/>
          <w:szCs w:val="22"/>
          <w:lang w:val="fr-BE"/>
        </w:rPr>
        <w:t>pratiques de conversion</w:t>
      </w:r>
      <w:r w:rsidRPr="009E5D27">
        <w:rPr>
          <w:rFonts w:eastAsia="Calibri"/>
          <w:szCs w:val="22"/>
          <w:lang w:val="fr-BE"/>
        </w:rPr>
        <w:t> ;</w:t>
      </w:r>
    </w:p>
    <w:p w14:paraId="4070D261" w14:textId="77777777" w:rsidR="009E5D27" w:rsidRPr="009E5D27" w:rsidRDefault="009E5D27" w:rsidP="005F3416">
      <w:pPr>
        <w:spacing w:after="160" w:line="259" w:lineRule="auto"/>
        <w:ind w:left="720"/>
        <w:contextualSpacing/>
        <w:rPr>
          <w:rFonts w:eastAsia="Calibri"/>
          <w:szCs w:val="22"/>
          <w:lang w:val="fr-BE"/>
        </w:rPr>
      </w:pPr>
    </w:p>
    <w:p w14:paraId="4343B505" w14:textId="77777777" w:rsidR="009E5D27" w:rsidRPr="009E5D27" w:rsidRDefault="009E5D27" w:rsidP="005F3416">
      <w:pPr>
        <w:numPr>
          <w:ilvl w:val="0"/>
          <w:numId w:val="21"/>
        </w:numPr>
        <w:spacing w:after="160" w:line="259" w:lineRule="auto"/>
        <w:contextualSpacing/>
        <w:rPr>
          <w:rFonts w:eastAsia="Calibri"/>
          <w:szCs w:val="22"/>
          <w:lang w:val="fr-BE"/>
        </w:rPr>
      </w:pPr>
      <w:r w:rsidRPr="009E5D27">
        <w:rPr>
          <w:rFonts w:eastAsia="Calibri"/>
          <w:b/>
          <w:bCs/>
          <w:szCs w:val="22"/>
          <w:lang w:val="fr-BE"/>
        </w:rPr>
        <w:t>le harcèlement et la violence au travail à caractère discriminatoire</w:t>
      </w:r>
      <w:r w:rsidRPr="009E5D27">
        <w:rPr>
          <w:rFonts w:eastAsia="Calibri"/>
          <w:szCs w:val="22"/>
          <w:lang w:val="fr-BE"/>
        </w:rPr>
        <w:t>.</w:t>
      </w:r>
    </w:p>
    <w:p w14:paraId="17845C3B" w14:textId="77777777" w:rsidR="009E5D27" w:rsidRPr="009E5D27" w:rsidRDefault="009E5D27" w:rsidP="005F3416">
      <w:pPr>
        <w:spacing w:after="160" w:line="259" w:lineRule="auto"/>
        <w:ind w:left="720"/>
        <w:contextualSpacing/>
        <w:rPr>
          <w:rFonts w:eastAsia="Calibri"/>
          <w:szCs w:val="22"/>
          <w:lang w:val="fr-BE"/>
        </w:rPr>
      </w:pPr>
    </w:p>
    <w:p w14:paraId="4BD30DFD" w14:textId="77777777" w:rsidR="009E5D27" w:rsidRPr="009E5D27" w:rsidRDefault="009E5D27" w:rsidP="005F3416">
      <w:pPr>
        <w:spacing w:line="259" w:lineRule="auto"/>
        <w:rPr>
          <w:rFonts w:eastAsia="Calibri"/>
          <w:szCs w:val="22"/>
          <w:lang w:val="fr-BE"/>
        </w:rPr>
      </w:pPr>
      <w:r w:rsidRPr="009E5D27">
        <w:rPr>
          <w:rFonts w:eastAsia="Calibri"/>
          <w:szCs w:val="22"/>
          <w:lang w:val="fr-BE"/>
        </w:rPr>
        <w:t>La circulaire souligne cependant que le classement en catégories des infractions en matière de discrimination, s’il permet de faciliter la compréhension de la matière,  se heurte inévitablement à certaines limites en lien avec la variété des comportements incriminés. Le sexisme dans l’espace public, par exemple, relèvera, dans un grand nombre de cas, du « discours de haine ».</w:t>
      </w:r>
    </w:p>
    <w:p w14:paraId="7ACC727B" w14:textId="77777777" w:rsidR="009E5D27" w:rsidRPr="009E5D27" w:rsidRDefault="009E5D27" w:rsidP="005F3416">
      <w:pPr>
        <w:spacing w:line="259" w:lineRule="auto"/>
        <w:rPr>
          <w:rFonts w:eastAsia="Calibri"/>
          <w:szCs w:val="22"/>
          <w:lang w:val="fr-BE"/>
        </w:rPr>
      </w:pPr>
    </w:p>
    <w:p w14:paraId="1050D525" w14:textId="77777777" w:rsidR="009E5D27" w:rsidRPr="009E5D27" w:rsidRDefault="009E5D27" w:rsidP="005F3416">
      <w:pPr>
        <w:spacing w:line="259" w:lineRule="auto"/>
        <w:rPr>
          <w:rFonts w:eastAsia="Calibri"/>
          <w:szCs w:val="22"/>
          <w:lang w:val="fr-BE"/>
        </w:rPr>
      </w:pPr>
      <w:r w:rsidRPr="009E5D27">
        <w:rPr>
          <w:rFonts w:eastAsia="Calibri"/>
          <w:szCs w:val="22"/>
          <w:lang w:val="fr-BE"/>
        </w:rPr>
        <w:t xml:space="preserve">Par ailleurs, ces infractions étant susceptibles d’être commises sur internet, notamment sur les réseaux sociaux, </w:t>
      </w:r>
      <w:r w:rsidRPr="009E5D27">
        <w:rPr>
          <w:rFonts w:eastAsia="Calibri"/>
          <w:szCs w:val="22"/>
          <w:u w:val="single"/>
          <w:lang w:val="fr-BE"/>
        </w:rPr>
        <w:t xml:space="preserve">une section spécifique de la circulaire est consacrée à la </w:t>
      </w:r>
      <w:r w:rsidRPr="009E5D27">
        <w:rPr>
          <w:rFonts w:eastAsia="Calibri"/>
          <w:b/>
          <w:bCs/>
          <w:szCs w:val="22"/>
          <w:u w:val="single"/>
          <w:lang w:val="fr-BE"/>
        </w:rPr>
        <w:t>« </w:t>
      </w:r>
      <w:proofErr w:type="spellStart"/>
      <w:r w:rsidRPr="009E5D27">
        <w:rPr>
          <w:rFonts w:eastAsia="Calibri"/>
          <w:b/>
          <w:bCs/>
          <w:szCs w:val="22"/>
          <w:u w:val="single"/>
          <w:lang w:val="fr-BE"/>
        </w:rPr>
        <w:t>cyberhaine</w:t>
      </w:r>
      <w:proofErr w:type="spellEnd"/>
      <w:r w:rsidRPr="009E5D27">
        <w:rPr>
          <w:rFonts w:eastAsia="Calibri"/>
          <w:b/>
          <w:bCs/>
          <w:szCs w:val="22"/>
          <w:u w:val="single"/>
          <w:lang w:val="fr-BE"/>
        </w:rPr>
        <w:t xml:space="preserve"> discriminatoire »</w:t>
      </w:r>
      <w:r w:rsidRPr="009E5D27">
        <w:rPr>
          <w:rFonts w:eastAsia="Calibri"/>
          <w:szCs w:val="22"/>
          <w:lang w:val="fr-BE"/>
        </w:rPr>
        <w:t xml:space="preserve"> avec une attention particulière et des directives pour </w:t>
      </w:r>
      <w:r w:rsidRPr="009E5D27">
        <w:rPr>
          <w:rFonts w:eastAsia="Calibri"/>
          <w:b/>
          <w:bCs/>
          <w:szCs w:val="22"/>
          <w:lang w:val="fr-BE"/>
        </w:rPr>
        <w:t>obtenir rapidement le retrait des contenus discriminatoires</w:t>
      </w:r>
      <w:r w:rsidRPr="009E5D27">
        <w:rPr>
          <w:rFonts w:eastAsia="Calibri"/>
          <w:szCs w:val="22"/>
          <w:lang w:val="fr-BE"/>
        </w:rPr>
        <w:t>.</w:t>
      </w:r>
    </w:p>
    <w:p w14:paraId="080D94AF" w14:textId="77777777" w:rsidR="009E5D27" w:rsidRPr="009E5D27" w:rsidRDefault="009E5D27" w:rsidP="005F3416">
      <w:pPr>
        <w:spacing w:line="259" w:lineRule="auto"/>
        <w:rPr>
          <w:rFonts w:eastAsia="Calibri"/>
          <w:szCs w:val="22"/>
          <w:lang w:val="fr-BE"/>
        </w:rPr>
      </w:pPr>
    </w:p>
    <w:p w14:paraId="0C0D9F72" w14:textId="77777777" w:rsidR="009E5D27" w:rsidRPr="009E5D27" w:rsidRDefault="009E5D27" w:rsidP="005F3416">
      <w:pPr>
        <w:spacing w:line="259" w:lineRule="auto"/>
        <w:rPr>
          <w:rFonts w:eastAsia="Calibri"/>
          <w:szCs w:val="22"/>
          <w:lang w:val="fr-BE"/>
        </w:rPr>
      </w:pPr>
      <w:r w:rsidRPr="009E5D27">
        <w:rPr>
          <w:rFonts w:eastAsia="Calibri"/>
          <w:szCs w:val="22"/>
          <w:lang w:val="fr-BE"/>
        </w:rPr>
        <w:t xml:space="preserve">La </w:t>
      </w:r>
      <w:r w:rsidRPr="009E5D27">
        <w:rPr>
          <w:rFonts w:eastAsia="Calibri"/>
          <w:b/>
          <w:bCs/>
          <w:szCs w:val="22"/>
          <w:u w:val="single"/>
          <w:lang w:val="fr-BE"/>
        </w:rPr>
        <w:t>notion de délit de presse</w:t>
      </w:r>
      <w:r w:rsidRPr="009E5D27">
        <w:rPr>
          <w:rFonts w:eastAsia="Calibri"/>
          <w:szCs w:val="22"/>
          <w:lang w:val="fr-BE"/>
        </w:rPr>
        <w:t>, susceptible de concerner aussi les opinions exprimées en ligne, est analysée.</w:t>
      </w:r>
    </w:p>
    <w:p w14:paraId="01AA8FCA" w14:textId="77777777" w:rsidR="009E5D27" w:rsidRPr="009E5D27" w:rsidRDefault="009E5D27" w:rsidP="005F3416">
      <w:pPr>
        <w:spacing w:line="259" w:lineRule="auto"/>
        <w:rPr>
          <w:rFonts w:eastAsia="Calibri"/>
          <w:szCs w:val="22"/>
          <w:lang w:val="fr-BE"/>
        </w:rPr>
      </w:pPr>
    </w:p>
    <w:p w14:paraId="075AF4C7"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 xml:space="preserve">Des </w:t>
      </w:r>
      <w:r w:rsidRPr="009E5D27">
        <w:rPr>
          <w:rFonts w:eastAsia="Calibri"/>
          <w:b/>
          <w:bCs/>
          <w:szCs w:val="22"/>
          <w:u w:val="single"/>
          <w:lang w:val="fr-BE"/>
        </w:rPr>
        <w:t>phénomènes et sous-phénomènes</w:t>
      </w:r>
      <w:r w:rsidRPr="009E5D27">
        <w:rPr>
          <w:rFonts w:eastAsia="Calibri"/>
          <w:b/>
          <w:bCs/>
          <w:szCs w:val="22"/>
          <w:lang w:val="fr-BE"/>
        </w:rPr>
        <w:t xml:space="preserve">, </w:t>
      </w:r>
      <w:r w:rsidRPr="009E5D27">
        <w:rPr>
          <w:rFonts w:eastAsia="Calibri"/>
          <w:szCs w:val="22"/>
          <w:lang w:val="fr-BE"/>
        </w:rPr>
        <w:t>en lien avec un ou plusieurs critère(s) protégé(s) et susceptibles de transcender les catégories d’infractions, sont identifiés et définis. Des indicateurs spécifiques sont listés.</w:t>
      </w:r>
    </w:p>
    <w:p w14:paraId="476D3935" w14:textId="77777777" w:rsidR="009E5D27" w:rsidRPr="009E5D27" w:rsidRDefault="009E5D27" w:rsidP="005F3416">
      <w:pPr>
        <w:spacing w:line="259" w:lineRule="auto"/>
        <w:rPr>
          <w:rFonts w:eastAsia="Calibri"/>
          <w:szCs w:val="22"/>
          <w:lang w:val="fr-BE"/>
        </w:rPr>
      </w:pPr>
      <w:r w:rsidRPr="009E5D27">
        <w:rPr>
          <w:rFonts w:eastAsia="Calibri"/>
          <w:szCs w:val="22"/>
          <w:lang w:val="fr-BE"/>
        </w:rPr>
        <w:t xml:space="preserve">La circulaire tente de trouver un équilibre entre la nécessité de distinguer des phénomènes rencontrés dans la pratique et/ou pour lesquels la Belgique s’est engagée au niveau international à fournir des données statistiques et l’impératif de conserver un caractère praticable et </w:t>
      </w:r>
      <w:proofErr w:type="spellStart"/>
      <w:r w:rsidRPr="009E5D27">
        <w:rPr>
          <w:rFonts w:eastAsia="Calibri"/>
          <w:szCs w:val="22"/>
          <w:lang w:val="fr-BE"/>
        </w:rPr>
        <w:t>opérationnalisable</w:t>
      </w:r>
      <w:proofErr w:type="spellEnd"/>
      <w:r w:rsidRPr="009E5D27">
        <w:rPr>
          <w:rFonts w:eastAsia="Calibri"/>
          <w:szCs w:val="22"/>
          <w:lang w:val="fr-BE"/>
        </w:rPr>
        <w:t xml:space="preserve"> aux directives qu’elle contient. Des phénomènes moins souvent rencontrés ou trop difficiles à distinguer dans la pratique ne sont pas distingués. </w:t>
      </w:r>
    </w:p>
    <w:p w14:paraId="44387897" w14:textId="465FACA9" w:rsidR="009E5D27" w:rsidRDefault="009E5D27" w:rsidP="005F3416">
      <w:pPr>
        <w:spacing w:line="259" w:lineRule="auto"/>
        <w:rPr>
          <w:rFonts w:eastAsia="Calibri"/>
          <w:szCs w:val="22"/>
          <w:lang w:val="fr-BE"/>
        </w:rPr>
      </w:pPr>
    </w:p>
    <w:p w14:paraId="5F6F9A2C" w14:textId="577A6E76" w:rsidR="00D23F13" w:rsidRDefault="00D23F13" w:rsidP="005F3416">
      <w:pPr>
        <w:spacing w:line="259" w:lineRule="auto"/>
        <w:rPr>
          <w:rFonts w:eastAsia="Calibri"/>
          <w:szCs w:val="22"/>
          <w:lang w:val="fr-BE"/>
        </w:rPr>
      </w:pPr>
    </w:p>
    <w:p w14:paraId="0EEC94F7" w14:textId="251B7105" w:rsidR="00D23F13" w:rsidRDefault="00D23F13" w:rsidP="005F3416">
      <w:pPr>
        <w:spacing w:line="259" w:lineRule="auto"/>
        <w:rPr>
          <w:rFonts w:eastAsia="Calibri"/>
          <w:szCs w:val="22"/>
          <w:lang w:val="fr-BE"/>
        </w:rPr>
      </w:pPr>
    </w:p>
    <w:p w14:paraId="28CB8384" w14:textId="2281295C" w:rsidR="00D23F13" w:rsidRDefault="00D23F13" w:rsidP="005F3416">
      <w:pPr>
        <w:spacing w:line="259" w:lineRule="auto"/>
        <w:rPr>
          <w:rFonts w:eastAsia="Calibri"/>
          <w:szCs w:val="22"/>
          <w:lang w:val="fr-BE"/>
        </w:rPr>
      </w:pPr>
    </w:p>
    <w:p w14:paraId="501C700F" w14:textId="77777777" w:rsidR="00D23F13" w:rsidRPr="009E5D27" w:rsidRDefault="00D23F13" w:rsidP="005F3416">
      <w:pPr>
        <w:spacing w:line="259" w:lineRule="auto"/>
        <w:rPr>
          <w:rFonts w:eastAsia="Calibri"/>
          <w:szCs w:val="22"/>
          <w:lang w:val="fr-BE"/>
        </w:rPr>
      </w:pPr>
    </w:p>
    <w:p w14:paraId="45771B50" w14:textId="77777777" w:rsidR="009E5D27" w:rsidRPr="009E5D27" w:rsidRDefault="009E5D27" w:rsidP="005F3416">
      <w:pPr>
        <w:spacing w:line="259" w:lineRule="auto"/>
        <w:rPr>
          <w:rFonts w:eastAsia="Calibri"/>
          <w:szCs w:val="22"/>
          <w:lang w:val="fr-BE"/>
        </w:rPr>
      </w:pPr>
      <w:r w:rsidRPr="009E5D27">
        <w:rPr>
          <w:rFonts w:eastAsia="Calibri"/>
          <w:szCs w:val="22"/>
          <w:lang w:val="fr-BE"/>
        </w:rPr>
        <w:lastRenderedPageBreak/>
        <w:t>Les phénomènes et sous-phénomènes retenus sont les suivants :</w:t>
      </w:r>
    </w:p>
    <w:p w14:paraId="055F9978" w14:textId="77777777" w:rsidR="009E5D27" w:rsidRPr="009E5D27" w:rsidRDefault="009E5D27" w:rsidP="005F3416">
      <w:pPr>
        <w:spacing w:line="259" w:lineRule="auto"/>
        <w:rPr>
          <w:rFonts w:eastAsia="Calibri"/>
          <w:szCs w:val="22"/>
          <w:lang w:val="fr-BE"/>
        </w:rPr>
      </w:pPr>
    </w:p>
    <w:p w14:paraId="3F8F360F"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racisme</w:t>
      </w:r>
    </w:p>
    <w:p w14:paraId="7419B064" w14:textId="77777777" w:rsidR="009E5D27" w:rsidRPr="009E5D27" w:rsidRDefault="009E5D27" w:rsidP="005F3416">
      <w:pPr>
        <w:numPr>
          <w:ilvl w:val="0"/>
          <w:numId w:val="23"/>
        </w:numPr>
        <w:spacing w:after="160" w:line="259" w:lineRule="auto"/>
        <w:contextualSpacing/>
        <w:rPr>
          <w:rFonts w:eastAsia="Calibri"/>
          <w:b/>
          <w:bCs/>
          <w:szCs w:val="22"/>
          <w:lang w:val="fr-BE"/>
        </w:rPr>
      </w:pPr>
      <w:proofErr w:type="spellStart"/>
      <w:r w:rsidRPr="009E5D27">
        <w:rPr>
          <w:rFonts w:eastAsia="Calibri"/>
          <w:b/>
          <w:bCs/>
          <w:szCs w:val="22"/>
          <w:lang w:val="fr-BE"/>
        </w:rPr>
        <w:t>afrophobie</w:t>
      </w:r>
      <w:proofErr w:type="spellEnd"/>
    </w:p>
    <w:p w14:paraId="1890EF75" w14:textId="77777777" w:rsidR="009E5D27" w:rsidRPr="009E5D27" w:rsidRDefault="009E5D27" w:rsidP="005F3416">
      <w:pPr>
        <w:numPr>
          <w:ilvl w:val="0"/>
          <w:numId w:val="23"/>
        </w:numPr>
        <w:spacing w:after="160" w:line="259" w:lineRule="auto"/>
        <w:contextualSpacing/>
        <w:rPr>
          <w:rFonts w:eastAsia="Calibri"/>
          <w:b/>
          <w:bCs/>
          <w:szCs w:val="22"/>
          <w:lang w:val="fr-BE"/>
        </w:rPr>
      </w:pPr>
      <w:r w:rsidRPr="009E5D27">
        <w:rPr>
          <w:rFonts w:eastAsia="Calibri"/>
          <w:b/>
          <w:bCs/>
          <w:szCs w:val="22"/>
          <w:lang w:val="fr-BE"/>
        </w:rPr>
        <w:t>antisémitisme</w:t>
      </w:r>
    </w:p>
    <w:p w14:paraId="0B3F0A30" w14:textId="77777777" w:rsidR="009E5D27" w:rsidRPr="009E5D27" w:rsidRDefault="009E5D27" w:rsidP="005F3416">
      <w:pPr>
        <w:numPr>
          <w:ilvl w:val="0"/>
          <w:numId w:val="23"/>
        </w:numPr>
        <w:spacing w:after="160" w:line="259" w:lineRule="auto"/>
        <w:contextualSpacing/>
        <w:rPr>
          <w:rFonts w:eastAsia="Calibri"/>
          <w:b/>
          <w:bCs/>
          <w:szCs w:val="22"/>
          <w:lang w:val="fr-BE"/>
        </w:rPr>
      </w:pPr>
      <w:proofErr w:type="spellStart"/>
      <w:r w:rsidRPr="009E5D27">
        <w:rPr>
          <w:rFonts w:eastAsia="Calibri"/>
          <w:b/>
          <w:bCs/>
          <w:szCs w:val="22"/>
          <w:lang w:val="fr-BE"/>
        </w:rPr>
        <w:t>romaphobie</w:t>
      </w:r>
      <w:proofErr w:type="spellEnd"/>
    </w:p>
    <w:p w14:paraId="0C768D23"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infraction commise en raison de la religion ou de la conviction philosophique</w:t>
      </w:r>
    </w:p>
    <w:p w14:paraId="3B1125F2" w14:textId="77777777" w:rsidR="009E5D27" w:rsidRPr="009E5D27" w:rsidRDefault="009E5D27" w:rsidP="005F3416">
      <w:pPr>
        <w:numPr>
          <w:ilvl w:val="0"/>
          <w:numId w:val="24"/>
        </w:numPr>
        <w:spacing w:after="160" w:line="259" w:lineRule="auto"/>
        <w:contextualSpacing/>
        <w:rPr>
          <w:rFonts w:eastAsia="Calibri"/>
          <w:b/>
          <w:bCs/>
          <w:szCs w:val="22"/>
          <w:lang w:val="fr-BE"/>
        </w:rPr>
      </w:pPr>
      <w:r w:rsidRPr="009E5D27">
        <w:rPr>
          <w:rFonts w:eastAsia="Calibri"/>
          <w:b/>
          <w:bCs/>
          <w:szCs w:val="22"/>
          <w:lang w:val="fr-BE"/>
        </w:rPr>
        <w:t>antisémitisme</w:t>
      </w:r>
    </w:p>
    <w:p w14:paraId="1BE99187" w14:textId="77777777" w:rsidR="009E5D27" w:rsidRPr="009E5D27" w:rsidRDefault="009E5D27" w:rsidP="005F3416">
      <w:pPr>
        <w:numPr>
          <w:ilvl w:val="0"/>
          <w:numId w:val="24"/>
        </w:numPr>
        <w:spacing w:after="160" w:line="259" w:lineRule="auto"/>
        <w:contextualSpacing/>
        <w:rPr>
          <w:rFonts w:eastAsia="Calibri"/>
          <w:b/>
          <w:bCs/>
          <w:szCs w:val="22"/>
          <w:lang w:val="fr-BE"/>
        </w:rPr>
      </w:pPr>
      <w:r w:rsidRPr="009E5D27">
        <w:rPr>
          <w:rFonts w:eastAsia="Calibri"/>
          <w:b/>
          <w:bCs/>
          <w:szCs w:val="22"/>
          <w:lang w:val="fr-BE"/>
        </w:rPr>
        <w:t>islamophobie</w:t>
      </w:r>
    </w:p>
    <w:p w14:paraId="6A80AEFF" w14:textId="77777777" w:rsidR="009E5D27" w:rsidRPr="009E5D27" w:rsidRDefault="009E5D27" w:rsidP="005F3416">
      <w:pPr>
        <w:numPr>
          <w:ilvl w:val="0"/>
          <w:numId w:val="24"/>
        </w:numPr>
        <w:spacing w:after="160" w:line="259" w:lineRule="auto"/>
        <w:contextualSpacing/>
        <w:rPr>
          <w:rFonts w:eastAsia="Calibri"/>
          <w:b/>
          <w:bCs/>
          <w:szCs w:val="22"/>
          <w:lang w:val="fr-BE"/>
        </w:rPr>
      </w:pPr>
      <w:r w:rsidRPr="009E5D27">
        <w:rPr>
          <w:rFonts w:eastAsia="Calibri"/>
          <w:b/>
          <w:bCs/>
          <w:szCs w:val="22"/>
          <w:lang w:val="fr-BE"/>
        </w:rPr>
        <w:t>antichristianisme</w:t>
      </w:r>
    </w:p>
    <w:p w14:paraId="65C66D5D"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sexisme</w:t>
      </w:r>
    </w:p>
    <w:p w14:paraId="085E64E0"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transphobie</w:t>
      </w:r>
    </w:p>
    <w:p w14:paraId="2850A1EB"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homophobie</w:t>
      </w:r>
    </w:p>
    <w:p w14:paraId="38608538" w14:textId="77777777" w:rsidR="009E5D27" w:rsidRPr="009E5D27" w:rsidRDefault="009E5D27" w:rsidP="005F3416">
      <w:pPr>
        <w:numPr>
          <w:ilvl w:val="0"/>
          <w:numId w:val="22"/>
        </w:numPr>
        <w:spacing w:after="160" w:line="259" w:lineRule="auto"/>
        <w:contextualSpacing/>
        <w:rPr>
          <w:rFonts w:eastAsia="Calibri"/>
          <w:b/>
          <w:bCs/>
          <w:szCs w:val="22"/>
          <w:lang w:val="fr-BE"/>
        </w:rPr>
      </w:pPr>
      <w:r w:rsidRPr="009E5D27">
        <w:rPr>
          <w:rFonts w:eastAsia="Calibri"/>
          <w:b/>
          <w:bCs/>
          <w:szCs w:val="22"/>
          <w:lang w:val="fr-BE"/>
        </w:rPr>
        <w:t>infraction à l’encontre d’une personne porteuse d’un handicap et/ou d’une maladie</w:t>
      </w:r>
    </w:p>
    <w:p w14:paraId="69E38ECE" w14:textId="77777777" w:rsidR="009E5D27" w:rsidRPr="009E5D27" w:rsidRDefault="009E5D27" w:rsidP="005F3416">
      <w:pPr>
        <w:spacing w:after="160" w:line="259" w:lineRule="auto"/>
        <w:rPr>
          <w:rFonts w:eastAsia="Calibri"/>
          <w:szCs w:val="22"/>
          <w:lang w:val="fr-BE"/>
        </w:rPr>
      </w:pPr>
    </w:p>
    <w:p w14:paraId="59EA7064" w14:textId="77777777" w:rsidR="009E5D27" w:rsidRPr="009E5D27" w:rsidRDefault="009E5D27" w:rsidP="005F3416">
      <w:pPr>
        <w:spacing w:line="259" w:lineRule="auto"/>
        <w:rPr>
          <w:rFonts w:eastAsia="Calibri"/>
          <w:b/>
          <w:bCs/>
          <w:szCs w:val="22"/>
          <w:lang w:val="fr-BE"/>
        </w:rPr>
      </w:pPr>
      <w:r w:rsidRPr="009E5D27">
        <w:rPr>
          <w:rFonts w:eastAsia="Calibri"/>
          <w:szCs w:val="22"/>
          <w:lang w:val="fr-BE"/>
        </w:rPr>
        <w:t xml:space="preserve">Considérant que des directives d’enregistrement qui permettent d’identifier les procès-verbaux relatifs à la problématique de la discrimination et de distinguer le phénomène constaté ou dénoncé constituent un véritable outil dans la lutte contre la discrimination en ce qu’elles contribuent à garantir un traitement adéquat des dossiers et rendent possible le recueil de données statistiques pertinentes pour appréhender l’ampleur de la problématique, suivre son évolution et, le cas échéant, adapter la politique criminelle, </w:t>
      </w:r>
      <w:r w:rsidRPr="009E5D27">
        <w:rPr>
          <w:rFonts w:eastAsia="Calibri"/>
          <w:b/>
          <w:bCs/>
          <w:szCs w:val="22"/>
          <w:lang w:val="fr-BE"/>
        </w:rPr>
        <w:t>le mode d’</w:t>
      </w:r>
      <w:r w:rsidRPr="009E5D27">
        <w:rPr>
          <w:rFonts w:eastAsia="Calibri"/>
          <w:b/>
          <w:bCs/>
          <w:szCs w:val="22"/>
          <w:u w:val="single"/>
          <w:lang w:val="fr-BE"/>
        </w:rPr>
        <w:t>enregistrement</w:t>
      </w:r>
      <w:r w:rsidRPr="009E5D27">
        <w:rPr>
          <w:rFonts w:eastAsia="Calibri"/>
          <w:b/>
          <w:bCs/>
          <w:szCs w:val="22"/>
          <w:lang w:val="fr-BE"/>
        </w:rPr>
        <w:t xml:space="preserve"> des procès-verbaux et dossiers est entièrement réformé.</w:t>
      </w:r>
    </w:p>
    <w:p w14:paraId="11E69A53" w14:textId="77777777" w:rsidR="009E5D27" w:rsidRPr="009E5D27" w:rsidRDefault="009E5D27" w:rsidP="005F3416">
      <w:pPr>
        <w:spacing w:line="259" w:lineRule="auto"/>
        <w:rPr>
          <w:rFonts w:eastAsia="Calibri"/>
          <w:b/>
          <w:bCs/>
          <w:szCs w:val="22"/>
          <w:lang w:val="fr-BE"/>
        </w:rPr>
      </w:pPr>
    </w:p>
    <w:p w14:paraId="56BB2E81" w14:textId="77777777" w:rsidR="009E5D27" w:rsidRPr="009E5D27" w:rsidRDefault="009E5D27" w:rsidP="005F3416">
      <w:pPr>
        <w:spacing w:line="259" w:lineRule="auto"/>
        <w:rPr>
          <w:rFonts w:eastAsia="Calibri"/>
          <w:szCs w:val="22"/>
          <w:lang w:val="fr-BE"/>
        </w:rPr>
      </w:pPr>
      <w:r w:rsidRPr="009E5D27">
        <w:rPr>
          <w:rFonts w:eastAsia="Calibri"/>
          <w:szCs w:val="22"/>
          <w:lang w:val="fr-BE"/>
        </w:rPr>
        <w:t>La circulaire tente à cet égard de tenir compte et de concilier les contraintes et préoccupations des services de police et des parquets, qui travaillent avec des outils informatiques distincts obéissant chacun à une logique propre.</w:t>
      </w:r>
    </w:p>
    <w:p w14:paraId="65F3E839" w14:textId="77777777" w:rsidR="009E5D27" w:rsidRPr="009E5D27" w:rsidRDefault="009E5D27" w:rsidP="005F3416">
      <w:pPr>
        <w:spacing w:line="259" w:lineRule="auto"/>
        <w:rPr>
          <w:rFonts w:eastAsia="Calibri"/>
          <w:szCs w:val="22"/>
          <w:lang w:val="fr-BE"/>
        </w:rPr>
      </w:pPr>
    </w:p>
    <w:p w14:paraId="5920B8FC" w14:textId="77777777" w:rsidR="009E5D27" w:rsidRPr="009E5D27" w:rsidRDefault="009E5D27" w:rsidP="005F3416">
      <w:pPr>
        <w:spacing w:line="259" w:lineRule="auto"/>
        <w:rPr>
          <w:rFonts w:eastAsia="Calibri"/>
          <w:szCs w:val="22"/>
          <w:lang w:val="fr-BE"/>
        </w:rPr>
      </w:pPr>
      <w:r w:rsidRPr="009E5D27">
        <w:rPr>
          <w:rFonts w:eastAsia="Calibri"/>
          <w:szCs w:val="22"/>
          <w:lang w:val="fr-BE"/>
        </w:rPr>
        <w:t>Des adaptations techniques ont été réalisées dans le but de limiter au maximum les opérations manuelles inutiles et source de nombreuses erreurs. Par exemple, le « code de fait (QLF) » spécifique enregistré par le service de police est automatiquement récupéré dans le flux et converti en « code de prévention » dans MACH/JUSTONE. De la même façon, la « mention parquet » enregistrée par le service de police est automatiquement récupérée dans le flux et convertie en «TAG Contexte » dans MACH/JUSTONE. Ces adaptations devraient permettre que le nouveau système d’enregistrement constitue un véritable progrès, y compris pour les personnes chargées de réaliser cet enregistrement</w:t>
      </w:r>
    </w:p>
    <w:p w14:paraId="57657310" w14:textId="77777777" w:rsidR="009E5D27" w:rsidRPr="009E5D27" w:rsidRDefault="009E5D27" w:rsidP="005F3416">
      <w:pPr>
        <w:spacing w:line="259" w:lineRule="auto"/>
        <w:rPr>
          <w:rFonts w:eastAsia="Calibri"/>
          <w:szCs w:val="22"/>
          <w:lang w:val="fr-BE"/>
        </w:rPr>
      </w:pPr>
    </w:p>
    <w:p w14:paraId="69FC0CA5" w14:textId="77777777" w:rsidR="009E5D27" w:rsidRPr="009E5D27" w:rsidRDefault="009E5D27" w:rsidP="005F3416">
      <w:pPr>
        <w:spacing w:line="259" w:lineRule="auto"/>
        <w:rPr>
          <w:rFonts w:eastAsia="Calibri"/>
          <w:szCs w:val="22"/>
          <w:lang w:val="fr-BE"/>
        </w:rPr>
      </w:pPr>
      <w:r w:rsidRPr="009E5D27">
        <w:rPr>
          <w:rFonts w:eastAsia="Calibri"/>
          <w:szCs w:val="22"/>
          <w:lang w:val="fr-BE"/>
        </w:rPr>
        <w:t>Les nouvelles directives d’enregistrement se fondent sur la typologie des infractions et sur les différents phénomènes identifiés et peuvent être synthétisées comme suit :</w:t>
      </w:r>
    </w:p>
    <w:p w14:paraId="057DFBFF" w14:textId="6E03CDC8" w:rsidR="009E5D27" w:rsidRDefault="009E5D27" w:rsidP="005F3416">
      <w:pPr>
        <w:spacing w:line="259" w:lineRule="auto"/>
        <w:rPr>
          <w:rFonts w:eastAsia="Calibri"/>
          <w:szCs w:val="22"/>
          <w:lang w:val="fr-BE"/>
        </w:rPr>
      </w:pPr>
    </w:p>
    <w:p w14:paraId="22FA65CC" w14:textId="7B200B90" w:rsidR="00D23F13" w:rsidRDefault="00D23F13" w:rsidP="005F3416">
      <w:pPr>
        <w:spacing w:line="259" w:lineRule="auto"/>
        <w:rPr>
          <w:rFonts w:eastAsia="Calibri"/>
          <w:szCs w:val="22"/>
          <w:lang w:val="fr-BE"/>
        </w:rPr>
      </w:pPr>
    </w:p>
    <w:p w14:paraId="176885F5" w14:textId="1FE7B82F" w:rsidR="00D23F13" w:rsidRDefault="00D23F13" w:rsidP="005F3416">
      <w:pPr>
        <w:spacing w:line="259" w:lineRule="auto"/>
        <w:rPr>
          <w:rFonts w:eastAsia="Calibri"/>
          <w:szCs w:val="22"/>
          <w:lang w:val="fr-BE"/>
        </w:rPr>
      </w:pPr>
    </w:p>
    <w:p w14:paraId="1791B50C" w14:textId="77777777" w:rsidR="00D23F13" w:rsidRPr="009E5D27" w:rsidRDefault="00D23F13" w:rsidP="005F3416">
      <w:pPr>
        <w:spacing w:line="259" w:lineRule="auto"/>
        <w:rPr>
          <w:rFonts w:eastAsia="Calibri"/>
          <w:szCs w:val="22"/>
          <w:lang w:val="fr-BE"/>
        </w:rPr>
      </w:pPr>
    </w:p>
    <w:p w14:paraId="4D39283F" w14:textId="77777777" w:rsidR="009E5D27" w:rsidRPr="009E5D27" w:rsidRDefault="009E5D27" w:rsidP="005F3416">
      <w:pPr>
        <w:numPr>
          <w:ilvl w:val="0"/>
          <w:numId w:val="25"/>
        </w:numPr>
        <w:spacing w:after="160" w:line="259" w:lineRule="auto"/>
        <w:contextualSpacing/>
        <w:rPr>
          <w:rFonts w:eastAsia="Calibri"/>
          <w:szCs w:val="22"/>
          <w:u w:val="single"/>
          <w:lang w:val="fr-BE"/>
        </w:rPr>
      </w:pPr>
      <w:r w:rsidRPr="009E5D27">
        <w:rPr>
          <w:rFonts w:eastAsia="Calibri"/>
          <w:szCs w:val="22"/>
          <w:u w:val="single"/>
          <w:lang w:val="fr-BE"/>
        </w:rPr>
        <w:lastRenderedPageBreak/>
        <w:t xml:space="preserve">Services de police </w:t>
      </w:r>
    </w:p>
    <w:p w14:paraId="24C9E516" w14:textId="77777777" w:rsidR="009E5D27" w:rsidRPr="009E5D27" w:rsidRDefault="009E5D27" w:rsidP="005F3416">
      <w:pPr>
        <w:spacing w:line="259" w:lineRule="auto"/>
        <w:ind w:left="720"/>
        <w:contextualSpacing/>
        <w:rPr>
          <w:rFonts w:eastAsia="Calibri"/>
          <w:szCs w:val="22"/>
          <w:u w:val="single"/>
          <w:lang w:val="fr-BE"/>
        </w:rPr>
      </w:pPr>
    </w:p>
    <w:p w14:paraId="70663B8E" w14:textId="77777777" w:rsidR="009E5D27" w:rsidRPr="009E5D27" w:rsidRDefault="009E5D27" w:rsidP="005F3416">
      <w:pPr>
        <w:numPr>
          <w:ilvl w:val="0"/>
          <w:numId w:val="27"/>
        </w:numPr>
        <w:spacing w:after="160" w:line="259" w:lineRule="auto"/>
        <w:contextualSpacing/>
        <w:rPr>
          <w:rFonts w:eastAsia="Calibri"/>
          <w:szCs w:val="22"/>
          <w:u w:val="single"/>
          <w:lang w:val="fr-BE"/>
        </w:rPr>
      </w:pPr>
      <w:r w:rsidRPr="009E5D27">
        <w:rPr>
          <w:rFonts w:eastAsia="Calibri"/>
          <w:szCs w:val="22"/>
          <w:u w:val="single"/>
          <w:lang w:val="fr-BE"/>
        </w:rPr>
        <w:t>1.1. Enregistrement des crimes et délits de haine</w:t>
      </w:r>
    </w:p>
    <w:p w14:paraId="1D07AA21" w14:textId="77777777" w:rsidR="009E5D27" w:rsidRPr="009E5D27" w:rsidRDefault="009E5D27" w:rsidP="005F3416">
      <w:pPr>
        <w:spacing w:line="259" w:lineRule="auto"/>
        <w:rPr>
          <w:rFonts w:eastAsia="Calibri"/>
          <w:b/>
          <w:szCs w:val="22"/>
          <w:u w:val="single"/>
          <w:lang w:val="fr-BE"/>
        </w:rPr>
      </w:pPr>
    </w:p>
    <w:p w14:paraId="4A166B0F" w14:textId="77777777" w:rsidR="009E5D27" w:rsidRPr="009E5D27" w:rsidRDefault="009E5D27" w:rsidP="005F3416">
      <w:pPr>
        <w:spacing w:line="259" w:lineRule="auto"/>
        <w:ind w:left="360" w:firstLine="720"/>
        <w:rPr>
          <w:rFonts w:eastAsia="Calibri"/>
          <w:bCs/>
          <w:sz w:val="28"/>
          <w:szCs w:val="28"/>
          <w:lang w:val="fr-BE"/>
        </w:rPr>
      </w:pPr>
      <w:r w:rsidRPr="009E5D27">
        <w:rPr>
          <w:rFonts w:eastAsia="Calibri"/>
          <w:b/>
          <w:sz w:val="28"/>
          <w:szCs w:val="28"/>
          <w:lang w:val="fr-BE"/>
        </w:rPr>
        <w:t xml:space="preserve">QLF + mention parquet </w:t>
      </w:r>
    </w:p>
    <w:p w14:paraId="59160BB2" w14:textId="77777777" w:rsidR="009E5D27" w:rsidRPr="009E5D27" w:rsidRDefault="009E5D27" w:rsidP="005F3416">
      <w:pPr>
        <w:spacing w:line="259" w:lineRule="auto"/>
        <w:ind w:left="360" w:firstLine="720"/>
        <w:rPr>
          <w:rFonts w:eastAsia="Calibri"/>
          <w:bCs/>
          <w:szCs w:val="22"/>
          <w:lang w:val="fr-BE"/>
        </w:rPr>
      </w:pPr>
    </w:p>
    <w:p w14:paraId="3DCB7F0F" w14:textId="77777777" w:rsidR="009E5D27" w:rsidRPr="009E5D27" w:rsidRDefault="009E5D27" w:rsidP="005F3416">
      <w:pPr>
        <w:spacing w:line="259" w:lineRule="auto"/>
        <w:ind w:left="360" w:firstLine="720"/>
        <w:rPr>
          <w:rFonts w:eastAsia="Calibri"/>
          <w:szCs w:val="22"/>
          <w:lang w:val="fr-BE"/>
        </w:rPr>
      </w:pPr>
      <w:r w:rsidRPr="009E5D27">
        <w:rPr>
          <w:rFonts w:eastAsia="Calibri"/>
          <w:bCs/>
          <w:szCs w:val="22"/>
          <w:lang w:val="fr-BE"/>
        </w:rPr>
        <w:t>La mention parquet est à sélectionner dans la liste suivante :</w:t>
      </w:r>
    </w:p>
    <w:p w14:paraId="42D642A8" w14:textId="77777777" w:rsidR="009E5D27" w:rsidRPr="009E5D27" w:rsidRDefault="009E5D27" w:rsidP="005F3416">
      <w:pPr>
        <w:spacing w:line="259" w:lineRule="auto"/>
        <w:ind w:left="720" w:firstLine="720"/>
        <w:rPr>
          <w:rFonts w:eastAsia="Calibri"/>
          <w:b/>
          <w:szCs w:val="22"/>
          <w:u w:val="single"/>
          <w:lang w:val="fr-BE"/>
        </w:rPr>
      </w:pPr>
    </w:p>
    <w:tbl>
      <w:tblPr>
        <w:tblStyle w:val="Tabelraster"/>
        <w:tblW w:w="0" w:type="auto"/>
        <w:tblInd w:w="360" w:type="dxa"/>
        <w:tblLook w:val="04A0" w:firstRow="1" w:lastRow="0" w:firstColumn="1" w:lastColumn="0" w:noHBand="0" w:noVBand="1"/>
      </w:tblPr>
      <w:tblGrid>
        <w:gridCol w:w="584"/>
        <w:gridCol w:w="7947"/>
      </w:tblGrid>
      <w:tr w:rsidR="009E5D27" w:rsidRPr="00D23F13" w14:paraId="44CADA48" w14:textId="77777777" w:rsidTr="007A0BC5">
        <w:tc>
          <w:tcPr>
            <w:tcW w:w="486" w:type="dxa"/>
          </w:tcPr>
          <w:p w14:paraId="30C80990" w14:textId="77777777" w:rsidR="009E5D27" w:rsidRPr="009E5D27" w:rsidRDefault="009E5D27" w:rsidP="005F3416">
            <w:pPr>
              <w:rPr>
                <w:lang w:val="fr-BE"/>
              </w:rPr>
            </w:pPr>
            <w:r w:rsidRPr="009E5D27">
              <w:rPr>
                <w:lang w:val="fr-BE"/>
              </w:rPr>
              <w:t>042</w:t>
            </w:r>
          </w:p>
        </w:tc>
        <w:tc>
          <w:tcPr>
            <w:tcW w:w="8170" w:type="dxa"/>
          </w:tcPr>
          <w:p w14:paraId="0523ADB0" w14:textId="77777777" w:rsidR="009E5D27" w:rsidRPr="009E5D27" w:rsidRDefault="009E5D27" w:rsidP="005F3416">
            <w:pPr>
              <w:ind w:left="360"/>
              <w:rPr>
                <w:b/>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proofErr w:type="spellStart"/>
            <w:r w:rsidRPr="009E5D27">
              <w:rPr>
                <w:b/>
                <w:lang w:val="fr-BE"/>
              </w:rPr>
              <w:t>afrophobie</w:t>
            </w:r>
            <w:proofErr w:type="spellEnd"/>
          </w:p>
        </w:tc>
      </w:tr>
      <w:tr w:rsidR="009E5D27" w:rsidRPr="00D23F13" w14:paraId="6C10D899" w14:textId="77777777" w:rsidTr="007A0BC5">
        <w:tc>
          <w:tcPr>
            <w:tcW w:w="486" w:type="dxa"/>
          </w:tcPr>
          <w:p w14:paraId="3524CF7A" w14:textId="77777777" w:rsidR="009E5D27" w:rsidRPr="009E5D27" w:rsidRDefault="009E5D27" w:rsidP="005F3416">
            <w:pPr>
              <w:rPr>
                <w:lang w:val="fr-BE"/>
              </w:rPr>
            </w:pPr>
            <w:r w:rsidRPr="009E5D27">
              <w:rPr>
                <w:lang w:val="fr-BE"/>
              </w:rPr>
              <w:t>043</w:t>
            </w:r>
          </w:p>
        </w:tc>
        <w:tc>
          <w:tcPr>
            <w:tcW w:w="8170" w:type="dxa"/>
          </w:tcPr>
          <w:p w14:paraId="6038548F" w14:textId="77777777" w:rsidR="009E5D27" w:rsidRPr="009E5D27" w:rsidRDefault="009E5D27" w:rsidP="005F3416">
            <w:pPr>
              <w:ind w:left="360"/>
              <w:rPr>
                <w:b/>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r w:rsidRPr="009E5D27">
              <w:rPr>
                <w:b/>
                <w:lang w:val="fr-BE"/>
              </w:rPr>
              <w:t>antisémitisme</w:t>
            </w:r>
          </w:p>
        </w:tc>
      </w:tr>
      <w:tr w:rsidR="009E5D27" w:rsidRPr="00D23F13" w14:paraId="35317917" w14:textId="77777777" w:rsidTr="007A0BC5">
        <w:tc>
          <w:tcPr>
            <w:tcW w:w="486" w:type="dxa"/>
          </w:tcPr>
          <w:p w14:paraId="5D525FF0" w14:textId="77777777" w:rsidR="009E5D27" w:rsidRPr="009E5D27" w:rsidRDefault="009E5D27" w:rsidP="005F3416">
            <w:pPr>
              <w:rPr>
                <w:lang w:val="fr-BE"/>
              </w:rPr>
            </w:pPr>
            <w:r w:rsidRPr="009E5D27">
              <w:rPr>
                <w:lang w:val="fr-BE"/>
              </w:rPr>
              <w:t>044</w:t>
            </w:r>
          </w:p>
        </w:tc>
        <w:tc>
          <w:tcPr>
            <w:tcW w:w="8170" w:type="dxa"/>
          </w:tcPr>
          <w:p w14:paraId="3C376BDB"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proofErr w:type="spellStart"/>
            <w:r w:rsidRPr="009E5D27">
              <w:rPr>
                <w:b/>
                <w:lang w:val="fr-BE"/>
              </w:rPr>
              <w:t>romaphobie</w:t>
            </w:r>
            <w:proofErr w:type="spellEnd"/>
          </w:p>
        </w:tc>
      </w:tr>
      <w:tr w:rsidR="009E5D27" w:rsidRPr="00D23F13" w14:paraId="747A40C0" w14:textId="77777777" w:rsidTr="007A0BC5">
        <w:tc>
          <w:tcPr>
            <w:tcW w:w="486" w:type="dxa"/>
          </w:tcPr>
          <w:p w14:paraId="45FF3A9A" w14:textId="77777777" w:rsidR="009E5D27" w:rsidRPr="009E5D27" w:rsidRDefault="009E5D27" w:rsidP="005F3416">
            <w:pPr>
              <w:rPr>
                <w:lang w:val="fr-BE"/>
              </w:rPr>
            </w:pPr>
            <w:r w:rsidRPr="009E5D27">
              <w:rPr>
                <w:lang w:val="fr-BE"/>
              </w:rPr>
              <w:t>045</w:t>
            </w:r>
          </w:p>
        </w:tc>
        <w:tc>
          <w:tcPr>
            <w:tcW w:w="8170" w:type="dxa"/>
          </w:tcPr>
          <w:p w14:paraId="6B77F837"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w:t>
            </w:r>
            <w:r w:rsidRPr="009E5D27">
              <w:rPr>
                <w:b/>
                <w:u w:val="single"/>
                <w:lang w:val="fr-BE"/>
              </w:rPr>
              <w:t>racisme : autre</w:t>
            </w:r>
          </w:p>
        </w:tc>
      </w:tr>
      <w:tr w:rsidR="009E5D27" w:rsidRPr="00D23F13" w14:paraId="2BAA524A" w14:textId="77777777" w:rsidTr="007A0BC5">
        <w:tc>
          <w:tcPr>
            <w:tcW w:w="486" w:type="dxa"/>
          </w:tcPr>
          <w:p w14:paraId="1112FFD0" w14:textId="77777777" w:rsidR="009E5D27" w:rsidRPr="009E5D27" w:rsidRDefault="009E5D27" w:rsidP="005F3416">
            <w:pPr>
              <w:rPr>
                <w:lang w:val="fr-BE"/>
              </w:rPr>
            </w:pPr>
            <w:r w:rsidRPr="009E5D27">
              <w:rPr>
                <w:lang w:val="fr-BE"/>
              </w:rPr>
              <w:t>046</w:t>
            </w:r>
          </w:p>
        </w:tc>
        <w:tc>
          <w:tcPr>
            <w:tcW w:w="8170" w:type="dxa"/>
          </w:tcPr>
          <w:p w14:paraId="20EC7DFF"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religion : </w:t>
            </w:r>
            <w:r w:rsidRPr="009E5D27">
              <w:rPr>
                <w:b/>
                <w:lang w:val="fr-BE"/>
              </w:rPr>
              <w:t>islamophobie</w:t>
            </w:r>
          </w:p>
        </w:tc>
      </w:tr>
      <w:tr w:rsidR="009E5D27" w:rsidRPr="00D23F13" w14:paraId="7A0F10EF" w14:textId="77777777" w:rsidTr="007A0BC5">
        <w:tc>
          <w:tcPr>
            <w:tcW w:w="486" w:type="dxa"/>
          </w:tcPr>
          <w:p w14:paraId="4023B2A1" w14:textId="77777777" w:rsidR="009E5D27" w:rsidRPr="009E5D27" w:rsidRDefault="009E5D27" w:rsidP="005F3416">
            <w:pPr>
              <w:rPr>
                <w:lang w:val="fr-BE"/>
              </w:rPr>
            </w:pPr>
            <w:r w:rsidRPr="009E5D27">
              <w:rPr>
                <w:lang w:val="fr-BE"/>
              </w:rPr>
              <w:t>047</w:t>
            </w:r>
          </w:p>
        </w:tc>
        <w:tc>
          <w:tcPr>
            <w:tcW w:w="8170" w:type="dxa"/>
          </w:tcPr>
          <w:p w14:paraId="3488AAD9"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religion : </w:t>
            </w:r>
            <w:r w:rsidRPr="009E5D27">
              <w:rPr>
                <w:b/>
                <w:lang w:val="fr-BE"/>
              </w:rPr>
              <w:t>antisémitisme</w:t>
            </w:r>
          </w:p>
        </w:tc>
      </w:tr>
      <w:tr w:rsidR="009E5D27" w:rsidRPr="00D23F13" w14:paraId="53297461" w14:textId="77777777" w:rsidTr="007A0BC5">
        <w:tc>
          <w:tcPr>
            <w:tcW w:w="486" w:type="dxa"/>
          </w:tcPr>
          <w:p w14:paraId="2F099351" w14:textId="77777777" w:rsidR="009E5D27" w:rsidRPr="009E5D27" w:rsidRDefault="009E5D27" w:rsidP="005F3416">
            <w:pPr>
              <w:rPr>
                <w:lang w:val="fr-BE"/>
              </w:rPr>
            </w:pPr>
            <w:r w:rsidRPr="009E5D27">
              <w:rPr>
                <w:lang w:val="fr-BE"/>
              </w:rPr>
              <w:t>048</w:t>
            </w:r>
          </w:p>
        </w:tc>
        <w:tc>
          <w:tcPr>
            <w:tcW w:w="8170" w:type="dxa"/>
          </w:tcPr>
          <w:p w14:paraId="1D6552E2"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discrim.religion</w:t>
            </w:r>
            <w:proofErr w:type="spellEnd"/>
            <w:r w:rsidRPr="009E5D27">
              <w:rPr>
                <w:lang w:val="fr-BE"/>
              </w:rPr>
              <w:t xml:space="preserve">: </w:t>
            </w:r>
            <w:r w:rsidRPr="009E5D27">
              <w:rPr>
                <w:b/>
                <w:lang w:val="fr-BE"/>
              </w:rPr>
              <w:t>antichristianisme</w:t>
            </w:r>
          </w:p>
        </w:tc>
      </w:tr>
      <w:tr w:rsidR="009E5D27" w:rsidRPr="00D23F13" w14:paraId="742F589B" w14:textId="77777777" w:rsidTr="007A0BC5">
        <w:tc>
          <w:tcPr>
            <w:tcW w:w="486" w:type="dxa"/>
          </w:tcPr>
          <w:p w14:paraId="786283A1" w14:textId="77777777" w:rsidR="009E5D27" w:rsidRPr="009E5D27" w:rsidRDefault="009E5D27" w:rsidP="005F3416">
            <w:pPr>
              <w:rPr>
                <w:lang w:val="fr-BE"/>
              </w:rPr>
            </w:pPr>
            <w:r w:rsidRPr="009E5D27">
              <w:rPr>
                <w:lang w:val="fr-BE"/>
              </w:rPr>
              <w:t>049</w:t>
            </w:r>
          </w:p>
        </w:tc>
        <w:tc>
          <w:tcPr>
            <w:tcW w:w="8170" w:type="dxa"/>
          </w:tcPr>
          <w:p w14:paraId="7660A1E2"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w:t>
            </w:r>
            <w:r w:rsidRPr="009E5D27">
              <w:rPr>
                <w:b/>
                <w:u w:val="single"/>
                <w:lang w:val="fr-BE"/>
              </w:rPr>
              <w:t>religion : autre</w:t>
            </w:r>
          </w:p>
        </w:tc>
      </w:tr>
      <w:tr w:rsidR="009E5D27" w:rsidRPr="009E5D27" w14:paraId="7B46F695" w14:textId="77777777" w:rsidTr="007A0BC5">
        <w:tc>
          <w:tcPr>
            <w:tcW w:w="486" w:type="dxa"/>
          </w:tcPr>
          <w:p w14:paraId="576715BD" w14:textId="77777777" w:rsidR="009E5D27" w:rsidRPr="009E5D27" w:rsidRDefault="009E5D27" w:rsidP="005F3416">
            <w:pPr>
              <w:rPr>
                <w:lang w:val="fr-BE"/>
              </w:rPr>
            </w:pPr>
            <w:r w:rsidRPr="009E5D27">
              <w:rPr>
                <w:lang w:val="fr-BE"/>
              </w:rPr>
              <w:t>050</w:t>
            </w:r>
          </w:p>
        </w:tc>
        <w:tc>
          <w:tcPr>
            <w:tcW w:w="8170" w:type="dxa"/>
          </w:tcPr>
          <w:p w14:paraId="28B9CF00"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sexisme</w:t>
            </w:r>
            <w:r w:rsidRPr="009E5D27">
              <w:rPr>
                <w:lang w:val="fr-BE"/>
              </w:rPr>
              <w:t> </w:t>
            </w:r>
          </w:p>
        </w:tc>
      </w:tr>
      <w:tr w:rsidR="009E5D27" w:rsidRPr="009E5D27" w14:paraId="16474787" w14:textId="77777777" w:rsidTr="007A0BC5">
        <w:tc>
          <w:tcPr>
            <w:tcW w:w="486" w:type="dxa"/>
          </w:tcPr>
          <w:p w14:paraId="6C6EAC2F" w14:textId="77777777" w:rsidR="009E5D27" w:rsidRPr="009E5D27" w:rsidRDefault="009E5D27" w:rsidP="005F3416">
            <w:pPr>
              <w:rPr>
                <w:lang w:val="fr-BE"/>
              </w:rPr>
            </w:pPr>
            <w:r w:rsidRPr="009E5D27">
              <w:rPr>
                <w:lang w:val="fr-BE"/>
              </w:rPr>
              <w:t>051</w:t>
            </w:r>
          </w:p>
        </w:tc>
        <w:tc>
          <w:tcPr>
            <w:tcW w:w="8170" w:type="dxa"/>
          </w:tcPr>
          <w:p w14:paraId="6CD0833A"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transphobie</w:t>
            </w:r>
            <w:r w:rsidRPr="009E5D27">
              <w:rPr>
                <w:lang w:val="fr-BE"/>
              </w:rPr>
              <w:t> </w:t>
            </w:r>
          </w:p>
        </w:tc>
      </w:tr>
      <w:tr w:rsidR="009E5D27" w:rsidRPr="009E5D27" w14:paraId="1D059CD5" w14:textId="77777777" w:rsidTr="007A0BC5">
        <w:tc>
          <w:tcPr>
            <w:tcW w:w="486" w:type="dxa"/>
          </w:tcPr>
          <w:p w14:paraId="478FB878" w14:textId="77777777" w:rsidR="009E5D27" w:rsidRPr="009E5D27" w:rsidRDefault="009E5D27" w:rsidP="005F3416">
            <w:pPr>
              <w:rPr>
                <w:lang w:val="fr-BE"/>
              </w:rPr>
            </w:pPr>
            <w:r w:rsidRPr="009E5D27">
              <w:rPr>
                <w:lang w:val="fr-BE"/>
              </w:rPr>
              <w:t>052</w:t>
            </w:r>
          </w:p>
        </w:tc>
        <w:tc>
          <w:tcPr>
            <w:tcW w:w="8170" w:type="dxa"/>
          </w:tcPr>
          <w:p w14:paraId="6FA4B6CC"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homophobie</w:t>
            </w:r>
            <w:r w:rsidRPr="009E5D27">
              <w:rPr>
                <w:lang w:val="fr-BE"/>
              </w:rPr>
              <w:t> </w:t>
            </w:r>
          </w:p>
        </w:tc>
      </w:tr>
      <w:tr w:rsidR="009E5D27" w:rsidRPr="009E5D27" w14:paraId="7FBD227B" w14:textId="77777777" w:rsidTr="007A0BC5">
        <w:tc>
          <w:tcPr>
            <w:tcW w:w="486" w:type="dxa"/>
          </w:tcPr>
          <w:p w14:paraId="7B5E606E" w14:textId="77777777" w:rsidR="009E5D27" w:rsidRPr="009E5D27" w:rsidRDefault="009E5D27" w:rsidP="005F3416">
            <w:pPr>
              <w:rPr>
                <w:lang w:val="fr-BE"/>
              </w:rPr>
            </w:pPr>
            <w:r w:rsidRPr="009E5D27">
              <w:rPr>
                <w:lang w:val="fr-BE"/>
              </w:rPr>
              <w:t>053</w:t>
            </w:r>
          </w:p>
        </w:tc>
        <w:tc>
          <w:tcPr>
            <w:tcW w:w="8170" w:type="dxa"/>
          </w:tcPr>
          <w:p w14:paraId="6EA65FFB"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w:t>
            </w:r>
            <w:r w:rsidRPr="009E5D27">
              <w:rPr>
                <w:b/>
                <w:lang w:val="fr-BE"/>
              </w:rPr>
              <w:t xml:space="preserve"> handicap</w:t>
            </w:r>
          </w:p>
        </w:tc>
      </w:tr>
      <w:tr w:rsidR="009E5D27" w:rsidRPr="00D23F13" w14:paraId="366744F9" w14:textId="77777777" w:rsidTr="007A0BC5">
        <w:tc>
          <w:tcPr>
            <w:tcW w:w="486" w:type="dxa"/>
          </w:tcPr>
          <w:p w14:paraId="15E0C418" w14:textId="77777777" w:rsidR="009E5D27" w:rsidRPr="009E5D27" w:rsidRDefault="009E5D27" w:rsidP="005F3416">
            <w:pPr>
              <w:rPr>
                <w:lang w:val="fr-BE"/>
              </w:rPr>
            </w:pPr>
            <w:r w:rsidRPr="009E5D27">
              <w:rPr>
                <w:lang w:val="fr-BE"/>
              </w:rPr>
              <w:t>054</w:t>
            </w:r>
          </w:p>
        </w:tc>
        <w:tc>
          <w:tcPr>
            <w:tcW w:w="8170" w:type="dxa"/>
          </w:tcPr>
          <w:p w14:paraId="6ACF867C" w14:textId="77777777" w:rsidR="009E5D27" w:rsidRPr="009E5D27" w:rsidRDefault="009E5D27" w:rsidP="005F3416">
            <w:pPr>
              <w:rPr>
                <w:lang w:val="fr-BE"/>
              </w:rPr>
            </w:pPr>
            <w:r w:rsidRPr="009E5D27">
              <w:rPr>
                <w:lang w:val="fr-BE"/>
              </w:rPr>
              <w:t xml:space="preserve">      Motif haine/</w:t>
            </w:r>
            <w:proofErr w:type="spellStart"/>
            <w:r w:rsidRPr="009E5D27">
              <w:rPr>
                <w:lang w:val="fr-BE"/>
              </w:rPr>
              <w:t>discrim</w:t>
            </w:r>
            <w:proofErr w:type="spellEnd"/>
            <w:r w:rsidRPr="009E5D27">
              <w:rPr>
                <w:lang w:val="fr-BE"/>
              </w:rPr>
              <w:t xml:space="preserve">. : </w:t>
            </w:r>
            <w:r w:rsidRPr="009E5D27">
              <w:rPr>
                <w:b/>
                <w:lang w:val="fr-BE"/>
              </w:rPr>
              <w:t>autre motif</w:t>
            </w:r>
          </w:p>
        </w:tc>
      </w:tr>
    </w:tbl>
    <w:p w14:paraId="32CDDD19" w14:textId="77777777" w:rsidR="009E5D27" w:rsidRPr="009E5D27" w:rsidRDefault="009E5D27" w:rsidP="005F3416">
      <w:pPr>
        <w:spacing w:line="259" w:lineRule="auto"/>
        <w:rPr>
          <w:rFonts w:eastAsia="Calibri"/>
          <w:b/>
          <w:szCs w:val="22"/>
          <w:u w:val="single"/>
          <w:lang w:val="fr-BE"/>
        </w:rPr>
      </w:pPr>
    </w:p>
    <w:p w14:paraId="1EA7DD5A" w14:textId="77777777" w:rsidR="009E5D27" w:rsidRPr="009E5D27" w:rsidRDefault="009E5D27" w:rsidP="005F3416">
      <w:pPr>
        <w:spacing w:line="259" w:lineRule="auto"/>
        <w:rPr>
          <w:rFonts w:eastAsia="Calibri"/>
          <w:szCs w:val="22"/>
          <w:lang w:val="fr-BE"/>
        </w:rPr>
      </w:pPr>
    </w:p>
    <w:p w14:paraId="28E3944C" w14:textId="77777777" w:rsidR="009E5D27" w:rsidRPr="009E5D27" w:rsidRDefault="009E5D27" w:rsidP="005F3416">
      <w:pPr>
        <w:numPr>
          <w:ilvl w:val="0"/>
          <w:numId w:val="26"/>
        </w:numPr>
        <w:spacing w:after="160" w:line="259" w:lineRule="auto"/>
        <w:contextualSpacing/>
        <w:rPr>
          <w:rFonts w:eastAsia="Calibri"/>
          <w:szCs w:val="22"/>
          <w:u w:val="single"/>
          <w:lang w:val="fr-BE"/>
        </w:rPr>
      </w:pPr>
      <w:r w:rsidRPr="009E5D27">
        <w:rPr>
          <w:rFonts w:eastAsia="Calibri"/>
          <w:szCs w:val="22"/>
          <w:u w:val="single"/>
          <w:lang w:val="fr-BE"/>
        </w:rPr>
        <w:t>1.2. Enregistrement des infractions spécifiques</w:t>
      </w:r>
    </w:p>
    <w:p w14:paraId="3DBCEFD7" w14:textId="77777777" w:rsidR="009E5D27" w:rsidRPr="009E5D27" w:rsidRDefault="009E5D27" w:rsidP="005F3416">
      <w:pPr>
        <w:spacing w:line="259" w:lineRule="auto"/>
        <w:ind w:left="1440"/>
        <w:contextualSpacing/>
        <w:rPr>
          <w:rFonts w:eastAsia="Calibri"/>
          <w:szCs w:val="22"/>
          <w:lang w:val="fr-BE"/>
        </w:rPr>
      </w:pPr>
    </w:p>
    <w:p w14:paraId="1449E8D8" w14:textId="77777777" w:rsidR="009E5D27" w:rsidRPr="009E5D27" w:rsidRDefault="009E5D27" w:rsidP="005F3416">
      <w:pPr>
        <w:spacing w:line="259" w:lineRule="auto"/>
        <w:ind w:left="1080"/>
        <w:contextualSpacing/>
        <w:rPr>
          <w:rFonts w:eastAsia="Calibri"/>
          <w:b/>
          <w:sz w:val="28"/>
          <w:szCs w:val="28"/>
          <w:lang w:val="fr-BE"/>
        </w:rPr>
      </w:pPr>
      <w:r w:rsidRPr="009E5D27">
        <w:rPr>
          <w:rFonts w:eastAsia="Calibri"/>
          <w:b/>
          <w:sz w:val="28"/>
          <w:szCs w:val="28"/>
          <w:lang w:val="fr-BE"/>
        </w:rPr>
        <w:t xml:space="preserve">QLF spécifique + mention parquet  </w:t>
      </w:r>
    </w:p>
    <w:p w14:paraId="727662DC" w14:textId="77777777" w:rsidR="009E5D27" w:rsidRPr="009E5D27" w:rsidRDefault="009E5D27" w:rsidP="005F3416">
      <w:pPr>
        <w:spacing w:line="259" w:lineRule="auto"/>
        <w:rPr>
          <w:rFonts w:eastAsia="Calibri"/>
          <w:bCs/>
          <w:szCs w:val="22"/>
          <w:lang w:val="fr-BE"/>
        </w:rPr>
      </w:pPr>
    </w:p>
    <w:p w14:paraId="42BB7B32" w14:textId="77777777" w:rsidR="009E5D27" w:rsidRPr="009E5D27" w:rsidRDefault="009E5D27" w:rsidP="005F3416">
      <w:pPr>
        <w:spacing w:line="259" w:lineRule="auto"/>
        <w:ind w:left="1080"/>
        <w:contextualSpacing/>
        <w:rPr>
          <w:rFonts w:eastAsia="Calibri"/>
          <w:bCs/>
          <w:szCs w:val="22"/>
          <w:lang w:val="fr-BE"/>
        </w:rPr>
      </w:pPr>
      <w:r w:rsidRPr="009E5D27">
        <w:rPr>
          <w:rFonts w:eastAsia="Calibri"/>
          <w:bCs/>
          <w:sz w:val="18"/>
          <w:szCs w:val="18"/>
          <w:lang w:val="fr-BE"/>
        </w:rPr>
        <w:t>-</w:t>
      </w:r>
      <w:r w:rsidRPr="009E5D27">
        <w:rPr>
          <w:rFonts w:eastAsia="Calibri"/>
          <w:bCs/>
          <w:szCs w:val="22"/>
          <w:lang w:val="fr-BE"/>
        </w:rPr>
        <w:t>La mention parquet est à sélectionner dans la même liste que celle visée au point 1.1. ci-dessus.</w:t>
      </w:r>
    </w:p>
    <w:p w14:paraId="2D720EF2" w14:textId="77777777" w:rsidR="009E5D27" w:rsidRPr="009E5D27" w:rsidRDefault="009E5D27" w:rsidP="005F3416">
      <w:pPr>
        <w:spacing w:line="259" w:lineRule="auto"/>
        <w:ind w:left="1080"/>
        <w:contextualSpacing/>
        <w:rPr>
          <w:rFonts w:eastAsia="Calibri"/>
          <w:bCs/>
          <w:szCs w:val="22"/>
          <w:lang w:val="fr-BE"/>
        </w:rPr>
      </w:pPr>
      <w:r w:rsidRPr="009E5D27">
        <w:rPr>
          <w:rFonts w:eastAsia="Calibri"/>
          <w:bCs/>
          <w:szCs w:val="22"/>
          <w:lang w:val="fr-BE"/>
        </w:rPr>
        <w:t>-La liste des QLF spécifiques est la suivante, qui remplace la liste inutilement complexe de QLF qui existait auparavant :</w:t>
      </w:r>
    </w:p>
    <w:p w14:paraId="0BB43555" w14:textId="77777777" w:rsidR="009E5D27" w:rsidRPr="009E5D27" w:rsidRDefault="009E5D27" w:rsidP="005F3416">
      <w:pPr>
        <w:spacing w:line="259" w:lineRule="auto"/>
        <w:ind w:left="1080"/>
        <w:contextualSpacing/>
        <w:rPr>
          <w:rFonts w:eastAsia="Calibri"/>
          <w:bCs/>
          <w:szCs w:val="22"/>
          <w:lang w:val="fr-BE"/>
        </w:rPr>
      </w:pPr>
    </w:p>
    <w:tbl>
      <w:tblPr>
        <w:tblStyle w:val="Tabelraster"/>
        <w:tblW w:w="0" w:type="auto"/>
        <w:tblLook w:val="04A0" w:firstRow="1" w:lastRow="0" w:firstColumn="1" w:lastColumn="0" w:noHBand="0" w:noVBand="1"/>
      </w:tblPr>
      <w:tblGrid>
        <w:gridCol w:w="556"/>
        <w:gridCol w:w="8335"/>
      </w:tblGrid>
      <w:tr w:rsidR="009E5D27" w:rsidRPr="00D23F13" w14:paraId="52769AA1" w14:textId="77777777" w:rsidTr="007A0BC5">
        <w:tc>
          <w:tcPr>
            <w:tcW w:w="562" w:type="dxa"/>
          </w:tcPr>
          <w:p w14:paraId="1B6EA212" w14:textId="77777777" w:rsidR="009E5D27" w:rsidRPr="009E5D27" w:rsidRDefault="009E5D27" w:rsidP="005F3416">
            <w:pPr>
              <w:rPr>
                <w:b/>
                <w:lang w:val="fr-BE"/>
              </w:rPr>
            </w:pPr>
          </w:p>
        </w:tc>
        <w:tc>
          <w:tcPr>
            <w:tcW w:w="8454" w:type="dxa"/>
          </w:tcPr>
          <w:p w14:paraId="7E4C5C1C" w14:textId="77777777" w:rsidR="009E5D27" w:rsidRPr="009E5D27" w:rsidRDefault="009E5D27" w:rsidP="005F3416">
            <w:pPr>
              <w:rPr>
                <w:b/>
                <w:lang w:val="fr-BE"/>
              </w:rPr>
            </w:pPr>
            <w:r w:rsidRPr="009E5D27">
              <w:rPr>
                <w:b/>
                <w:lang w:val="fr-BE"/>
              </w:rPr>
              <w:t>incitation à la discrimination, à la haine, à la violence ou à la ségrégation à l’égard d’une personne ou d’un groupe</w:t>
            </w:r>
          </w:p>
        </w:tc>
      </w:tr>
      <w:tr w:rsidR="009E5D27" w:rsidRPr="00D23F13" w14:paraId="70B8133A" w14:textId="77777777" w:rsidTr="007A0BC5">
        <w:tc>
          <w:tcPr>
            <w:tcW w:w="562" w:type="dxa"/>
          </w:tcPr>
          <w:p w14:paraId="2B16E117" w14:textId="77777777" w:rsidR="009E5D27" w:rsidRPr="009E5D27" w:rsidRDefault="009E5D27" w:rsidP="005F3416">
            <w:pPr>
              <w:rPr>
                <w:b/>
                <w:lang w:val="fr-BE"/>
              </w:rPr>
            </w:pPr>
          </w:p>
        </w:tc>
        <w:tc>
          <w:tcPr>
            <w:tcW w:w="8454" w:type="dxa"/>
          </w:tcPr>
          <w:p w14:paraId="27C5F797" w14:textId="77777777" w:rsidR="009E5D27" w:rsidRPr="009E5D27" w:rsidRDefault="009E5D27" w:rsidP="005F3416">
            <w:pPr>
              <w:rPr>
                <w:b/>
                <w:lang w:val="fr-BE"/>
              </w:rPr>
            </w:pPr>
            <w:r w:rsidRPr="009E5D27">
              <w:rPr>
                <w:b/>
                <w:lang w:val="fr-BE"/>
              </w:rPr>
              <w:t xml:space="preserve">diffusion d’idées fondées sur la supériorité ou la haine raciale </w:t>
            </w:r>
          </w:p>
        </w:tc>
      </w:tr>
      <w:tr w:rsidR="009E5D27" w:rsidRPr="00D23F13" w14:paraId="2054FA8C" w14:textId="77777777" w:rsidTr="007A0BC5">
        <w:tc>
          <w:tcPr>
            <w:tcW w:w="562" w:type="dxa"/>
          </w:tcPr>
          <w:p w14:paraId="60C67AD3" w14:textId="77777777" w:rsidR="009E5D27" w:rsidRPr="009E5D27" w:rsidRDefault="009E5D27" w:rsidP="005F3416">
            <w:pPr>
              <w:rPr>
                <w:b/>
                <w:lang w:val="fr-BE"/>
              </w:rPr>
            </w:pPr>
          </w:p>
        </w:tc>
        <w:tc>
          <w:tcPr>
            <w:tcW w:w="8454" w:type="dxa"/>
          </w:tcPr>
          <w:p w14:paraId="3962DA14" w14:textId="77777777" w:rsidR="009E5D27" w:rsidRPr="009E5D27" w:rsidRDefault="009E5D27" w:rsidP="005F3416">
            <w:pPr>
              <w:rPr>
                <w:b/>
                <w:lang w:val="fr-BE"/>
              </w:rPr>
            </w:pPr>
            <w:r w:rsidRPr="009E5D27">
              <w:rPr>
                <w:b/>
                <w:lang w:val="fr-BE"/>
              </w:rPr>
              <w:t>appartenance à un groupe prônant la ségrégation ou la discrimination raciale</w:t>
            </w:r>
          </w:p>
        </w:tc>
      </w:tr>
      <w:tr w:rsidR="009E5D27" w:rsidRPr="009E5D27" w14:paraId="7AE34E50" w14:textId="77777777" w:rsidTr="007A0BC5">
        <w:tc>
          <w:tcPr>
            <w:tcW w:w="562" w:type="dxa"/>
          </w:tcPr>
          <w:p w14:paraId="771C990F" w14:textId="77777777" w:rsidR="009E5D27" w:rsidRPr="009E5D27" w:rsidRDefault="009E5D27" w:rsidP="005F3416">
            <w:pPr>
              <w:rPr>
                <w:b/>
                <w:lang w:val="fr-BE"/>
              </w:rPr>
            </w:pPr>
          </w:p>
        </w:tc>
        <w:tc>
          <w:tcPr>
            <w:tcW w:w="8454" w:type="dxa"/>
          </w:tcPr>
          <w:p w14:paraId="1F28CA3D" w14:textId="77777777" w:rsidR="009E5D27" w:rsidRPr="009E5D27" w:rsidRDefault="009E5D27" w:rsidP="005F3416">
            <w:pPr>
              <w:rPr>
                <w:b/>
                <w:lang w:val="fr-BE"/>
              </w:rPr>
            </w:pPr>
            <w:r w:rsidRPr="009E5D27">
              <w:rPr>
                <w:b/>
                <w:lang w:val="fr-BE"/>
              </w:rPr>
              <w:t>négationnisme</w:t>
            </w:r>
          </w:p>
        </w:tc>
      </w:tr>
      <w:tr w:rsidR="009E5D27" w:rsidRPr="009E5D27" w14:paraId="7549EB90" w14:textId="77777777" w:rsidTr="007A0BC5">
        <w:tc>
          <w:tcPr>
            <w:tcW w:w="562" w:type="dxa"/>
          </w:tcPr>
          <w:p w14:paraId="7D405030" w14:textId="77777777" w:rsidR="009E5D27" w:rsidRPr="009E5D27" w:rsidRDefault="009E5D27" w:rsidP="005F3416">
            <w:pPr>
              <w:rPr>
                <w:b/>
                <w:lang w:val="fr-BE"/>
              </w:rPr>
            </w:pPr>
          </w:p>
        </w:tc>
        <w:tc>
          <w:tcPr>
            <w:tcW w:w="8454" w:type="dxa"/>
          </w:tcPr>
          <w:p w14:paraId="27514ED4" w14:textId="77777777" w:rsidR="009E5D27" w:rsidRPr="009E5D27" w:rsidRDefault="009E5D27" w:rsidP="005F3416">
            <w:pPr>
              <w:rPr>
                <w:b/>
                <w:lang w:val="fr-BE"/>
              </w:rPr>
            </w:pPr>
            <w:r w:rsidRPr="009E5D27">
              <w:rPr>
                <w:b/>
                <w:lang w:val="fr-BE"/>
              </w:rPr>
              <w:t>discrimination par un fonctionnaire</w:t>
            </w:r>
          </w:p>
        </w:tc>
      </w:tr>
      <w:tr w:rsidR="009E5D27" w:rsidRPr="009E5D27" w14:paraId="637A0279" w14:textId="77777777" w:rsidTr="007A0BC5">
        <w:tc>
          <w:tcPr>
            <w:tcW w:w="562" w:type="dxa"/>
          </w:tcPr>
          <w:p w14:paraId="2FDED745" w14:textId="77777777" w:rsidR="009E5D27" w:rsidRPr="009E5D27" w:rsidRDefault="009E5D27" w:rsidP="005F3416">
            <w:pPr>
              <w:rPr>
                <w:b/>
                <w:lang w:val="fr-BE"/>
              </w:rPr>
            </w:pPr>
          </w:p>
        </w:tc>
        <w:tc>
          <w:tcPr>
            <w:tcW w:w="8454" w:type="dxa"/>
          </w:tcPr>
          <w:p w14:paraId="12F53189" w14:textId="77777777" w:rsidR="009E5D27" w:rsidRPr="009E5D27" w:rsidRDefault="009E5D27" w:rsidP="005F3416">
            <w:pPr>
              <w:rPr>
                <w:b/>
                <w:lang w:val="fr-BE"/>
              </w:rPr>
            </w:pPr>
            <w:r w:rsidRPr="009E5D27">
              <w:rPr>
                <w:b/>
                <w:lang w:val="fr-BE"/>
              </w:rPr>
              <w:t>sexisme dans l’espace public</w:t>
            </w:r>
          </w:p>
        </w:tc>
      </w:tr>
      <w:tr w:rsidR="009E5D27" w:rsidRPr="009E5D27" w14:paraId="5FF97D37" w14:textId="77777777" w:rsidTr="007A0BC5">
        <w:tc>
          <w:tcPr>
            <w:tcW w:w="562" w:type="dxa"/>
          </w:tcPr>
          <w:p w14:paraId="5ABDD484" w14:textId="77777777" w:rsidR="009E5D27" w:rsidRPr="009E5D27" w:rsidRDefault="009E5D27" w:rsidP="005F3416">
            <w:pPr>
              <w:rPr>
                <w:b/>
                <w:lang w:val="fr-BE"/>
              </w:rPr>
            </w:pPr>
          </w:p>
        </w:tc>
        <w:tc>
          <w:tcPr>
            <w:tcW w:w="8454" w:type="dxa"/>
          </w:tcPr>
          <w:p w14:paraId="3F8EAFC2" w14:textId="77777777" w:rsidR="009E5D27" w:rsidRPr="009E5D27" w:rsidRDefault="009E5D27" w:rsidP="005F3416">
            <w:pPr>
              <w:rPr>
                <w:b/>
                <w:lang w:val="fr-BE"/>
              </w:rPr>
            </w:pPr>
            <w:r w:rsidRPr="009E5D27">
              <w:rPr>
                <w:b/>
                <w:lang w:val="fr-BE"/>
              </w:rPr>
              <w:t>pratiques de conversion</w:t>
            </w:r>
          </w:p>
        </w:tc>
      </w:tr>
      <w:tr w:rsidR="009E5D27" w:rsidRPr="009E5D27" w14:paraId="00EE3A83" w14:textId="77777777" w:rsidTr="007A0BC5">
        <w:tc>
          <w:tcPr>
            <w:tcW w:w="562" w:type="dxa"/>
          </w:tcPr>
          <w:p w14:paraId="01459BB9" w14:textId="77777777" w:rsidR="009E5D27" w:rsidRPr="009E5D27" w:rsidRDefault="009E5D27" w:rsidP="005F3416">
            <w:pPr>
              <w:rPr>
                <w:b/>
                <w:u w:val="single"/>
                <w:lang w:val="fr-BE"/>
              </w:rPr>
            </w:pPr>
          </w:p>
        </w:tc>
        <w:tc>
          <w:tcPr>
            <w:tcW w:w="8454" w:type="dxa"/>
          </w:tcPr>
          <w:p w14:paraId="6673BB88" w14:textId="77777777" w:rsidR="009E5D27" w:rsidRPr="009E5D27" w:rsidRDefault="009E5D27" w:rsidP="005F3416">
            <w:pPr>
              <w:rPr>
                <w:b/>
                <w:u w:val="single"/>
                <w:lang w:val="fr-BE"/>
              </w:rPr>
            </w:pPr>
            <w:r w:rsidRPr="009E5D27">
              <w:rPr>
                <w:b/>
                <w:u w:val="single"/>
                <w:lang w:val="fr-BE"/>
              </w:rPr>
              <w:t xml:space="preserve">discrimination : autre </w:t>
            </w:r>
          </w:p>
        </w:tc>
      </w:tr>
    </w:tbl>
    <w:p w14:paraId="4E4753F5" w14:textId="7A2DD6E0" w:rsidR="009E5D27" w:rsidRDefault="009E5D27" w:rsidP="005F3416">
      <w:pPr>
        <w:spacing w:line="259" w:lineRule="auto"/>
        <w:ind w:left="1080"/>
        <w:contextualSpacing/>
        <w:rPr>
          <w:rFonts w:eastAsia="Calibri"/>
          <w:b/>
          <w:sz w:val="18"/>
          <w:szCs w:val="18"/>
          <w:u w:val="single"/>
          <w:lang w:val="fr-BE"/>
        </w:rPr>
      </w:pPr>
    </w:p>
    <w:p w14:paraId="396F3415" w14:textId="77777777" w:rsidR="00D23F13" w:rsidRPr="009E5D27" w:rsidRDefault="00D23F13" w:rsidP="005F3416">
      <w:pPr>
        <w:spacing w:line="259" w:lineRule="auto"/>
        <w:ind w:left="1080"/>
        <w:contextualSpacing/>
        <w:rPr>
          <w:rFonts w:eastAsia="Calibri"/>
          <w:bCs/>
          <w:szCs w:val="22"/>
          <w:lang w:val="fr-BE"/>
        </w:rPr>
      </w:pPr>
    </w:p>
    <w:p w14:paraId="216CC9D4" w14:textId="77777777" w:rsidR="009E5D27" w:rsidRPr="009E5D27" w:rsidRDefault="009E5D27" w:rsidP="005F3416">
      <w:pPr>
        <w:spacing w:line="259" w:lineRule="auto"/>
        <w:ind w:left="360"/>
        <w:rPr>
          <w:rFonts w:eastAsia="Calibri"/>
          <w:bCs/>
          <w:sz w:val="18"/>
          <w:szCs w:val="18"/>
          <w:lang w:val="fr-BE"/>
        </w:rPr>
      </w:pPr>
    </w:p>
    <w:p w14:paraId="65879790" w14:textId="77777777" w:rsidR="009E5D27" w:rsidRPr="009E5D27" w:rsidRDefault="009E5D27" w:rsidP="005F3416">
      <w:pPr>
        <w:numPr>
          <w:ilvl w:val="0"/>
          <w:numId w:val="28"/>
        </w:numPr>
        <w:spacing w:after="160" w:line="259" w:lineRule="auto"/>
        <w:contextualSpacing/>
        <w:rPr>
          <w:rFonts w:eastAsia="Calibri"/>
          <w:bCs/>
          <w:szCs w:val="22"/>
          <w:u w:val="single"/>
          <w:lang w:val="fr-BE"/>
        </w:rPr>
      </w:pPr>
      <w:r w:rsidRPr="009E5D27">
        <w:rPr>
          <w:rFonts w:eastAsia="Calibri"/>
          <w:bCs/>
          <w:szCs w:val="22"/>
          <w:u w:val="single"/>
          <w:lang w:val="fr-BE"/>
        </w:rPr>
        <w:lastRenderedPageBreak/>
        <w:t>Parquets</w:t>
      </w:r>
    </w:p>
    <w:p w14:paraId="1DCE6F71" w14:textId="77777777" w:rsidR="009E5D27" w:rsidRPr="009E5D27" w:rsidRDefault="009E5D27" w:rsidP="005F3416">
      <w:pPr>
        <w:spacing w:line="259" w:lineRule="auto"/>
        <w:rPr>
          <w:rFonts w:eastAsia="Calibri"/>
          <w:bCs/>
          <w:szCs w:val="22"/>
          <w:u w:val="single"/>
          <w:lang w:val="fr-BE"/>
        </w:rPr>
      </w:pPr>
    </w:p>
    <w:p w14:paraId="13960CC2" w14:textId="77777777" w:rsidR="009E5D27" w:rsidRPr="009E5D27" w:rsidRDefault="009E5D27" w:rsidP="005F3416">
      <w:pPr>
        <w:spacing w:after="160" w:line="259" w:lineRule="auto"/>
        <w:rPr>
          <w:rFonts w:eastAsia="Calibri"/>
          <w:b/>
          <w:bCs/>
          <w:szCs w:val="22"/>
          <w:lang w:val="fr-BE"/>
        </w:rPr>
      </w:pPr>
      <w:r w:rsidRPr="009E5D27">
        <w:rPr>
          <w:rFonts w:eastAsia="Calibri"/>
          <w:b/>
          <w:bCs/>
          <w:szCs w:val="22"/>
          <w:lang w:val="fr-BE"/>
        </w:rPr>
        <w:t>Pour ce qui relève du champ d’application de la COL 13/2013, le ministère public ne procèdera plus par l’enregistrement d’un code de prévention principal et d’un code de prévention secondaire mais par l’enregistrement d’un code de prévention et d’un « TAG contexte ».</w:t>
      </w:r>
    </w:p>
    <w:p w14:paraId="7E74259F" w14:textId="77777777" w:rsidR="009E5D27" w:rsidRPr="009E5D27" w:rsidRDefault="009E5D27" w:rsidP="005F3416">
      <w:pPr>
        <w:spacing w:line="259" w:lineRule="auto"/>
        <w:ind w:left="720"/>
        <w:contextualSpacing/>
        <w:rPr>
          <w:rFonts w:eastAsia="Calibri"/>
          <w:bCs/>
          <w:szCs w:val="22"/>
          <w:u w:val="single"/>
          <w:lang w:val="fr-BE"/>
        </w:rPr>
      </w:pPr>
    </w:p>
    <w:p w14:paraId="48D438FA" w14:textId="77777777" w:rsidR="009E5D27" w:rsidRPr="009E5D27" w:rsidRDefault="009E5D27" w:rsidP="005F3416">
      <w:pPr>
        <w:numPr>
          <w:ilvl w:val="0"/>
          <w:numId w:val="27"/>
        </w:numPr>
        <w:spacing w:after="160" w:line="259" w:lineRule="auto"/>
        <w:contextualSpacing/>
        <w:rPr>
          <w:rFonts w:eastAsia="Calibri"/>
          <w:szCs w:val="22"/>
          <w:u w:val="single"/>
          <w:lang w:val="fr-BE"/>
        </w:rPr>
      </w:pPr>
      <w:r w:rsidRPr="009E5D27">
        <w:rPr>
          <w:rFonts w:eastAsia="Calibri"/>
          <w:szCs w:val="22"/>
          <w:u w:val="single"/>
          <w:lang w:val="fr-BE"/>
        </w:rPr>
        <w:t>2.1. Enregistrement des crimes et délits de haine</w:t>
      </w:r>
    </w:p>
    <w:p w14:paraId="109A9E2C" w14:textId="77777777" w:rsidR="009E5D27" w:rsidRPr="009E5D27" w:rsidRDefault="009E5D27" w:rsidP="005F3416">
      <w:pPr>
        <w:spacing w:line="259" w:lineRule="auto"/>
        <w:rPr>
          <w:rFonts w:eastAsia="Calibri"/>
          <w:szCs w:val="22"/>
          <w:u w:val="single"/>
          <w:lang w:val="fr-BE"/>
        </w:rPr>
      </w:pPr>
    </w:p>
    <w:p w14:paraId="16B2BF2D" w14:textId="77777777" w:rsidR="009E5D27" w:rsidRPr="009E5D27" w:rsidRDefault="009E5D27" w:rsidP="005F3416">
      <w:pPr>
        <w:spacing w:line="259" w:lineRule="auto"/>
        <w:ind w:left="360" w:firstLine="720"/>
        <w:rPr>
          <w:rFonts w:eastAsia="Calibri"/>
          <w:b/>
          <w:sz w:val="28"/>
          <w:szCs w:val="28"/>
          <w:lang w:val="fr-BE"/>
        </w:rPr>
      </w:pPr>
      <w:r w:rsidRPr="009E5D27">
        <w:rPr>
          <w:rFonts w:eastAsia="Calibri"/>
          <w:b/>
          <w:sz w:val="28"/>
          <w:szCs w:val="28"/>
          <w:lang w:val="fr-BE"/>
        </w:rPr>
        <w:t>Code de prévention + TAG contexte</w:t>
      </w:r>
    </w:p>
    <w:p w14:paraId="625CD5DF" w14:textId="77777777" w:rsidR="009E5D27" w:rsidRPr="009E5D27" w:rsidRDefault="009E5D27" w:rsidP="005F3416">
      <w:pPr>
        <w:spacing w:line="259" w:lineRule="auto"/>
        <w:rPr>
          <w:rFonts w:eastAsia="Calibri"/>
          <w:szCs w:val="22"/>
          <w:lang w:val="fr-BE"/>
        </w:rPr>
      </w:pPr>
    </w:p>
    <w:p w14:paraId="1E85B284" w14:textId="77777777" w:rsidR="009E5D27" w:rsidRPr="009E5D27" w:rsidRDefault="009E5D27" w:rsidP="005F3416">
      <w:pPr>
        <w:spacing w:line="259" w:lineRule="auto"/>
        <w:ind w:left="360" w:firstLine="720"/>
        <w:rPr>
          <w:rFonts w:eastAsia="Calibri"/>
          <w:bCs/>
          <w:szCs w:val="22"/>
          <w:lang w:val="fr-BE"/>
        </w:rPr>
      </w:pPr>
      <w:r w:rsidRPr="009E5D27">
        <w:rPr>
          <w:rFonts w:eastAsia="Calibri"/>
          <w:bCs/>
          <w:szCs w:val="22"/>
          <w:lang w:val="fr-BE"/>
        </w:rPr>
        <w:t>Le TAG contexte est à sélectionner dans la liste suivante :</w:t>
      </w:r>
    </w:p>
    <w:p w14:paraId="0A1E3804" w14:textId="77777777" w:rsidR="009E5D27" w:rsidRPr="009E5D27" w:rsidRDefault="009E5D27" w:rsidP="005F3416">
      <w:pPr>
        <w:spacing w:line="259" w:lineRule="auto"/>
        <w:ind w:left="360" w:firstLine="720"/>
        <w:rPr>
          <w:rFonts w:eastAsia="Calibri"/>
          <w:bCs/>
          <w:szCs w:val="22"/>
          <w:lang w:val="fr-BE"/>
        </w:rPr>
      </w:pPr>
    </w:p>
    <w:tbl>
      <w:tblPr>
        <w:tblStyle w:val="Tabelraster"/>
        <w:tblW w:w="0" w:type="auto"/>
        <w:tblInd w:w="360" w:type="dxa"/>
        <w:tblLook w:val="04A0" w:firstRow="1" w:lastRow="0" w:firstColumn="1" w:lastColumn="0" w:noHBand="0" w:noVBand="1"/>
      </w:tblPr>
      <w:tblGrid>
        <w:gridCol w:w="559"/>
        <w:gridCol w:w="1608"/>
        <w:gridCol w:w="6364"/>
      </w:tblGrid>
      <w:tr w:rsidR="009E5D27" w:rsidRPr="00D23F13" w14:paraId="2490C304" w14:textId="77777777" w:rsidTr="007A0BC5">
        <w:tc>
          <w:tcPr>
            <w:tcW w:w="562" w:type="dxa"/>
          </w:tcPr>
          <w:p w14:paraId="44579E8F" w14:textId="77777777" w:rsidR="009E5D27" w:rsidRPr="009E5D27" w:rsidRDefault="009E5D27" w:rsidP="005F3416">
            <w:pPr>
              <w:rPr>
                <w:lang w:val="fr-BE"/>
              </w:rPr>
            </w:pPr>
            <w:r w:rsidRPr="009E5D27">
              <w:rPr>
                <w:lang w:val="fr-BE"/>
              </w:rPr>
              <w:t>51</w:t>
            </w:r>
          </w:p>
        </w:tc>
        <w:tc>
          <w:tcPr>
            <w:tcW w:w="1625" w:type="dxa"/>
          </w:tcPr>
          <w:p w14:paraId="706ABB1F" w14:textId="77777777" w:rsidR="009E5D27" w:rsidRPr="009E5D27" w:rsidRDefault="009E5D27" w:rsidP="005F3416">
            <w:pPr>
              <w:rPr>
                <w:lang w:val="fr-BE"/>
              </w:rPr>
            </w:pPr>
            <w:r w:rsidRPr="009E5D27">
              <w:rPr>
                <w:lang w:val="fr-BE"/>
              </w:rPr>
              <w:t>COL 13/2013</w:t>
            </w:r>
          </w:p>
        </w:tc>
        <w:tc>
          <w:tcPr>
            <w:tcW w:w="6469" w:type="dxa"/>
          </w:tcPr>
          <w:p w14:paraId="49999909" w14:textId="77777777" w:rsidR="009E5D27" w:rsidRPr="009E5D27" w:rsidRDefault="009E5D27" w:rsidP="005F3416">
            <w:pPr>
              <w:ind w:left="360"/>
              <w:rPr>
                <w:b/>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proofErr w:type="spellStart"/>
            <w:r w:rsidRPr="009E5D27">
              <w:rPr>
                <w:b/>
                <w:lang w:val="fr-BE"/>
              </w:rPr>
              <w:t>afrophobie</w:t>
            </w:r>
            <w:proofErr w:type="spellEnd"/>
          </w:p>
        </w:tc>
      </w:tr>
      <w:tr w:rsidR="009E5D27" w:rsidRPr="00D23F13" w14:paraId="29D1BC78" w14:textId="77777777" w:rsidTr="007A0BC5">
        <w:tc>
          <w:tcPr>
            <w:tcW w:w="562" w:type="dxa"/>
          </w:tcPr>
          <w:p w14:paraId="609634A3" w14:textId="77777777" w:rsidR="009E5D27" w:rsidRPr="009E5D27" w:rsidRDefault="009E5D27" w:rsidP="005F3416">
            <w:pPr>
              <w:rPr>
                <w:lang w:val="fr-BE"/>
              </w:rPr>
            </w:pPr>
            <w:r w:rsidRPr="009E5D27">
              <w:rPr>
                <w:lang w:val="fr-BE"/>
              </w:rPr>
              <w:t>52</w:t>
            </w:r>
          </w:p>
        </w:tc>
        <w:tc>
          <w:tcPr>
            <w:tcW w:w="1625" w:type="dxa"/>
          </w:tcPr>
          <w:p w14:paraId="7D6E364A" w14:textId="77777777" w:rsidR="009E5D27" w:rsidRPr="009E5D27" w:rsidRDefault="009E5D27" w:rsidP="005F3416">
            <w:pPr>
              <w:rPr>
                <w:lang w:val="fr-BE"/>
              </w:rPr>
            </w:pPr>
            <w:r w:rsidRPr="009E5D27">
              <w:rPr>
                <w:lang w:val="fr-BE"/>
              </w:rPr>
              <w:t>COL 13/2013</w:t>
            </w:r>
          </w:p>
        </w:tc>
        <w:tc>
          <w:tcPr>
            <w:tcW w:w="6469" w:type="dxa"/>
          </w:tcPr>
          <w:p w14:paraId="0825B65D" w14:textId="77777777" w:rsidR="009E5D27" w:rsidRPr="009E5D27" w:rsidRDefault="009E5D27" w:rsidP="005F3416">
            <w:pPr>
              <w:ind w:left="360"/>
              <w:rPr>
                <w:b/>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r w:rsidRPr="009E5D27">
              <w:rPr>
                <w:b/>
                <w:lang w:val="fr-BE"/>
              </w:rPr>
              <w:t>antisémitisme</w:t>
            </w:r>
          </w:p>
        </w:tc>
      </w:tr>
      <w:tr w:rsidR="009E5D27" w:rsidRPr="00D23F13" w14:paraId="130213BB" w14:textId="77777777" w:rsidTr="007A0BC5">
        <w:tc>
          <w:tcPr>
            <w:tcW w:w="562" w:type="dxa"/>
          </w:tcPr>
          <w:p w14:paraId="6E380149" w14:textId="77777777" w:rsidR="009E5D27" w:rsidRPr="009E5D27" w:rsidRDefault="009E5D27" w:rsidP="005F3416">
            <w:pPr>
              <w:rPr>
                <w:lang w:val="fr-BE"/>
              </w:rPr>
            </w:pPr>
            <w:r w:rsidRPr="009E5D27">
              <w:rPr>
                <w:lang w:val="fr-BE"/>
              </w:rPr>
              <w:t>53</w:t>
            </w:r>
          </w:p>
        </w:tc>
        <w:tc>
          <w:tcPr>
            <w:tcW w:w="1625" w:type="dxa"/>
          </w:tcPr>
          <w:p w14:paraId="75964879" w14:textId="77777777" w:rsidR="009E5D27" w:rsidRPr="009E5D27" w:rsidRDefault="009E5D27" w:rsidP="005F3416">
            <w:pPr>
              <w:rPr>
                <w:lang w:val="fr-BE"/>
              </w:rPr>
            </w:pPr>
            <w:r w:rsidRPr="009E5D27">
              <w:rPr>
                <w:lang w:val="fr-BE"/>
              </w:rPr>
              <w:t>COL 13/2013</w:t>
            </w:r>
          </w:p>
        </w:tc>
        <w:tc>
          <w:tcPr>
            <w:tcW w:w="6469" w:type="dxa"/>
          </w:tcPr>
          <w:p w14:paraId="21674D02"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racisme : </w:t>
            </w:r>
            <w:proofErr w:type="spellStart"/>
            <w:r w:rsidRPr="009E5D27">
              <w:rPr>
                <w:b/>
                <w:lang w:val="fr-BE"/>
              </w:rPr>
              <w:t>romaphobie</w:t>
            </w:r>
            <w:proofErr w:type="spellEnd"/>
          </w:p>
        </w:tc>
      </w:tr>
      <w:tr w:rsidR="009E5D27" w:rsidRPr="00D23F13" w14:paraId="3B1E7EC7" w14:textId="77777777" w:rsidTr="007A0BC5">
        <w:tc>
          <w:tcPr>
            <w:tcW w:w="562" w:type="dxa"/>
          </w:tcPr>
          <w:p w14:paraId="51BBA3C8" w14:textId="77777777" w:rsidR="009E5D27" w:rsidRPr="009E5D27" w:rsidRDefault="009E5D27" w:rsidP="005F3416">
            <w:pPr>
              <w:rPr>
                <w:lang w:val="fr-BE"/>
              </w:rPr>
            </w:pPr>
            <w:r w:rsidRPr="009E5D27">
              <w:rPr>
                <w:lang w:val="fr-BE"/>
              </w:rPr>
              <w:t>54</w:t>
            </w:r>
          </w:p>
        </w:tc>
        <w:tc>
          <w:tcPr>
            <w:tcW w:w="1625" w:type="dxa"/>
          </w:tcPr>
          <w:p w14:paraId="26870800" w14:textId="77777777" w:rsidR="009E5D27" w:rsidRPr="009E5D27" w:rsidRDefault="009E5D27" w:rsidP="005F3416">
            <w:pPr>
              <w:rPr>
                <w:lang w:val="fr-BE"/>
              </w:rPr>
            </w:pPr>
            <w:r w:rsidRPr="009E5D27">
              <w:rPr>
                <w:lang w:val="fr-BE"/>
              </w:rPr>
              <w:t>COL 13/2013</w:t>
            </w:r>
          </w:p>
        </w:tc>
        <w:tc>
          <w:tcPr>
            <w:tcW w:w="6469" w:type="dxa"/>
          </w:tcPr>
          <w:p w14:paraId="254AA166"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w:t>
            </w:r>
            <w:r w:rsidRPr="009E5D27">
              <w:rPr>
                <w:b/>
                <w:u w:val="single"/>
                <w:lang w:val="fr-BE"/>
              </w:rPr>
              <w:t>racisme : autre</w:t>
            </w:r>
          </w:p>
        </w:tc>
      </w:tr>
      <w:tr w:rsidR="009E5D27" w:rsidRPr="00D23F13" w14:paraId="2C16228F" w14:textId="77777777" w:rsidTr="007A0BC5">
        <w:tc>
          <w:tcPr>
            <w:tcW w:w="562" w:type="dxa"/>
          </w:tcPr>
          <w:p w14:paraId="1BF25F07" w14:textId="77777777" w:rsidR="009E5D27" w:rsidRPr="009E5D27" w:rsidRDefault="009E5D27" w:rsidP="005F3416">
            <w:pPr>
              <w:rPr>
                <w:lang w:val="fr-BE"/>
              </w:rPr>
            </w:pPr>
            <w:r w:rsidRPr="009E5D27">
              <w:rPr>
                <w:lang w:val="fr-BE"/>
              </w:rPr>
              <w:t>55</w:t>
            </w:r>
          </w:p>
        </w:tc>
        <w:tc>
          <w:tcPr>
            <w:tcW w:w="1625" w:type="dxa"/>
          </w:tcPr>
          <w:p w14:paraId="3C345501" w14:textId="77777777" w:rsidR="009E5D27" w:rsidRPr="009E5D27" w:rsidRDefault="009E5D27" w:rsidP="005F3416">
            <w:pPr>
              <w:rPr>
                <w:lang w:val="fr-BE"/>
              </w:rPr>
            </w:pPr>
            <w:r w:rsidRPr="009E5D27">
              <w:rPr>
                <w:lang w:val="fr-BE"/>
              </w:rPr>
              <w:t>COL 13/2013</w:t>
            </w:r>
          </w:p>
        </w:tc>
        <w:tc>
          <w:tcPr>
            <w:tcW w:w="6469" w:type="dxa"/>
          </w:tcPr>
          <w:p w14:paraId="3EADC973"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religion : </w:t>
            </w:r>
            <w:r w:rsidRPr="009E5D27">
              <w:rPr>
                <w:b/>
                <w:lang w:val="fr-BE"/>
              </w:rPr>
              <w:t>islamophobie</w:t>
            </w:r>
          </w:p>
        </w:tc>
      </w:tr>
      <w:tr w:rsidR="009E5D27" w:rsidRPr="00D23F13" w14:paraId="346EC8CE" w14:textId="77777777" w:rsidTr="007A0BC5">
        <w:tc>
          <w:tcPr>
            <w:tcW w:w="562" w:type="dxa"/>
          </w:tcPr>
          <w:p w14:paraId="6838A35C" w14:textId="77777777" w:rsidR="009E5D27" w:rsidRPr="009E5D27" w:rsidRDefault="009E5D27" w:rsidP="005F3416">
            <w:pPr>
              <w:rPr>
                <w:lang w:val="fr-BE"/>
              </w:rPr>
            </w:pPr>
            <w:r w:rsidRPr="009E5D27">
              <w:rPr>
                <w:lang w:val="fr-BE"/>
              </w:rPr>
              <w:t>56</w:t>
            </w:r>
          </w:p>
        </w:tc>
        <w:tc>
          <w:tcPr>
            <w:tcW w:w="1625" w:type="dxa"/>
          </w:tcPr>
          <w:p w14:paraId="5FDFF156" w14:textId="77777777" w:rsidR="009E5D27" w:rsidRPr="009E5D27" w:rsidRDefault="009E5D27" w:rsidP="005F3416">
            <w:pPr>
              <w:rPr>
                <w:lang w:val="fr-BE"/>
              </w:rPr>
            </w:pPr>
            <w:r w:rsidRPr="009E5D27">
              <w:rPr>
                <w:lang w:val="fr-BE"/>
              </w:rPr>
              <w:t>COL 13/2013</w:t>
            </w:r>
          </w:p>
        </w:tc>
        <w:tc>
          <w:tcPr>
            <w:tcW w:w="6469" w:type="dxa"/>
          </w:tcPr>
          <w:p w14:paraId="2D3A662E"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religion : </w:t>
            </w:r>
            <w:r w:rsidRPr="009E5D27">
              <w:rPr>
                <w:b/>
                <w:lang w:val="fr-BE"/>
              </w:rPr>
              <w:t>antisémitisme</w:t>
            </w:r>
          </w:p>
        </w:tc>
      </w:tr>
      <w:tr w:rsidR="009E5D27" w:rsidRPr="00D23F13" w14:paraId="47CBF85C" w14:textId="77777777" w:rsidTr="007A0BC5">
        <w:tc>
          <w:tcPr>
            <w:tcW w:w="562" w:type="dxa"/>
          </w:tcPr>
          <w:p w14:paraId="191A555D" w14:textId="77777777" w:rsidR="009E5D27" w:rsidRPr="009E5D27" w:rsidRDefault="009E5D27" w:rsidP="005F3416">
            <w:pPr>
              <w:rPr>
                <w:lang w:val="fr-BE"/>
              </w:rPr>
            </w:pPr>
            <w:r w:rsidRPr="009E5D27">
              <w:rPr>
                <w:lang w:val="fr-BE"/>
              </w:rPr>
              <w:t>57</w:t>
            </w:r>
          </w:p>
        </w:tc>
        <w:tc>
          <w:tcPr>
            <w:tcW w:w="1625" w:type="dxa"/>
          </w:tcPr>
          <w:p w14:paraId="2249920D" w14:textId="77777777" w:rsidR="009E5D27" w:rsidRPr="009E5D27" w:rsidRDefault="009E5D27" w:rsidP="005F3416">
            <w:pPr>
              <w:rPr>
                <w:lang w:val="fr-BE"/>
              </w:rPr>
            </w:pPr>
            <w:r w:rsidRPr="009E5D27">
              <w:rPr>
                <w:lang w:val="fr-BE"/>
              </w:rPr>
              <w:t>COL 13/2013</w:t>
            </w:r>
          </w:p>
        </w:tc>
        <w:tc>
          <w:tcPr>
            <w:tcW w:w="6469" w:type="dxa"/>
          </w:tcPr>
          <w:p w14:paraId="7B74B836"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discrim.religion</w:t>
            </w:r>
            <w:proofErr w:type="spellEnd"/>
            <w:r w:rsidRPr="009E5D27">
              <w:rPr>
                <w:lang w:val="fr-BE"/>
              </w:rPr>
              <w:t xml:space="preserve"> : </w:t>
            </w:r>
            <w:r w:rsidRPr="009E5D27">
              <w:rPr>
                <w:b/>
                <w:lang w:val="fr-BE"/>
              </w:rPr>
              <w:t>antichristianisme</w:t>
            </w:r>
          </w:p>
        </w:tc>
      </w:tr>
      <w:tr w:rsidR="009E5D27" w:rsidRPr="00D23F13" w14:paraId="557CCF69" w14:textId="77777777" w:rsidTr="007A0BC5">
        <w:tc>
          <w:tcPr>
            <w:tcW w:w="562" w:type="dxa"/>
          </w:tcPr>
          <w:p w14:paraId="7703CE4A" w14:textId="77777777" w:rsidR="009E5D27" w:rsidRPr="009E5D27" w:rsidRDefault="009E5D27" w:rsidP="005F3416">
            <w:pPr>
              <w:rPr>
                <w:lang w:val="fr-BE"/>
              </w:rPr>
            </w:pPr>
            <w:r w:rsidRPr="009E5D27">
              <w:rPr>
                <w:lang w:val="fr-BE"/>
              </w:rPr>
              <w:t>58</w:t>
            </w:r>
          </w:p>
        </w:tc>
        <w:tc>
          <w:tcPr>
            <w:tcW w:w="1625" w:type="dxa"/>
          </w:tcPr>
          <w:p w14:paraId="680DEA29" w14:textId="77777777" w:rsidR="009E5D27" w:rsidRPr="009E5D27" w:rsidRDefault="009E5D27" w:rsidP="005F3416">
            <w:pPr>
              <w:rPr>
                <w:lang w:val="fr-BE"/>
              </w:rPr>
            </w:pPr>
            <w:r w:rsidRPr="009E5D27">
              <w:rPr>
                <w:lang w:val="fr-BE"/>
              </w:rPr>
              <w:t>COL 13/2013</w:t>
            </w:r>
          </w:p>
        </w:tc>
        <w:tc>
          <w:tcPr>
            <w:tcW w:w="6469" w:type="dxa"/>
          </w:tcPr>
          <w:p w14:paraId="78DD1BB4"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w:t>
            </w:r>
            <w:r w:rsidRPr="009E5D27">
              <w:rPr>
                <w:b/>
                <w:u w:val="single"/>
                <w:lang w:val="fr-BE"/>
              </w:rPr>
              <w:t>religion : autre</w:t>
            </w:r>
          </w:p>
        </w:tc>
      </w:tr>
      <w:tr w:rsidR="009E5D27" w:rsidRPr="009E5D27" w14:paraId="20AE69C7" w14:textId="77777777" w:rsidTr="007A0BC5">
        <w:tc>
          <w:tcPr>
            <w:tcW w:w="562" w:type="dxa"/>
          </w:tcPr>
          <w:p w14:paraId="302DD546" w14:textId="77777777" w:rsidR="009E5D27" w:rsidRPr="009E5D27" w:rsidRDefault="009E5D27" w:rsidP="005F3416">
            <w:pPr>
              <w:rPr>
                <w:lang w:val="fr-BE"/>
              </w:rPr>
            </w:pPr>
            <w:r w:rsidRPr="009E5D27">
              <w:rPr>
                <w:lang w:val="fr-BE"/>
              </w:rPr>
              <w:t>59</w:t>
            </w:r>
          </w:p>
        </w:tc>
        <w:tc>
          <w:tcPr>
            <w:tcW w:w="1625" w:type="dxa"/>
          </w:tcPr>
          <w:p w14:paraId="695BA802" w14:textId="77777777" w:rsidR="009E5D27" w:rsidRPr="009E5D27" w:rsidRDefault="009E5D27" w:rsidP="005F3416">
            <w:pPr>
              <w:rPr>
                <w:lang w:val="fr-BE"/>
              </w:rPr>
            </w:pPr>
            <w:r w:rsidRPr="009E5D27">
              <w:rPr>
                <w:lang w:val="fr-BE"/>
              </w:rPr>
              <w:t>COL 13/2013</w:t>
            </w:r>
          </w:p>
        </w:tc>
        <w:tc>
          <w:tcPr>
            <w:tcW w:w="6469" w:type="dxa"/>
          </w:tcPr>
          <w:p w14:paraId="7C493CCC"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sexisme</w:t>
            </w:r>
            <w:r w:rsidRPr="009E5D27">
              <w:rPr>
                <w:lang w:val="fr-BE"/>
              </w:rPr>
              <w:t> </w:t>
            </w:r>
          </w:p>
        </w:tc>
      </w:tr>
      <w:tr w:rsidR="009E5D27" w:rsidRPr="009E5D27" w14:paraId="5EC23577" w14:textId="77777777" w:rsidTr="007A0BC5">
        <w:tc>
          <w:tcPr>
            <w:tcW w:w="562" w:type="dxa"/>
          </w:tcPr>
          <w:p w14:paraId="5E1CC0F2" w14:textId="77777777" w:rsidR="009E5D27" w:rsidRPr="009E5D27" w:rsidRDefault="009E5D27" w:rsidP="005F3416">
            <w:pPr>
              <w:rPr>
                <w:lang w:val="fr-BE"/>
              </w:rPr>
            </w:pPr>
            <w:r w:rsidRPr="009E5D27">
              <w:rPr>
                <w:lang w:val="fr-BE"/>
              </w:rPr>
              <w:t>60</w:t>
            </w:r>
          </w:p>
        </w:tc>
        <w:tc>
          <w:tcPr>
            <w:tcW w:w="1625" w:type="dxa"/>
          </w:tcPr>
          <w:p w14:paraId="1022F2F6" w14:textId="77777777" w:rsidR="009E5D27" w:rsidRPr="009E5D27" w:rsidRDefault="009E5D27" w:rsidP="005F3416">
            <w:pPr>
              <w:rPr>
                <w:lang w:val="fr-BE"/>
              </w:rPr>
            </w:pPr>
            <w:r w:rsidRPr="009E5D27">
              <w:rPr>
                <w:lang w:val="fr-BE"/>
              </w:rPr>
              <w:t>COL 13/2013</w:t>
            </w:r>
          </w:p>
        </w:tc>
        <w:tc>
          <w:tcPr>
            <w:tcW w:w="6469" w:type="dxa"/>
          </w:tcPr>
          <w:p w14:paraId="27CF8230"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transphobie</w:t>
            </w:r>
            <w:r w:rsidRPr="009E5D27">
              <w:rPr>
                <w:lang w:val="fr-BE"/>
              </w:rPr>
              <w:t> </w:t>
            </w:r>
          </w:p>
        </w:tc>
      </w:tr>
      <w:tr w:rsidR="009E5D27" w:rsidRPr="009E5D27" w14:paraId="249CEBCE" w14:textId="77777777" w:rsidTr="007A0BC5">
        <w:tc>
          <w:tcPr>
            <w:tcW w:w="562" w:type="dxa"/>
          </w:tcPr>
          <w:p w14:paraId="5B8A01C0" w14:textId="77777777" w:rsidR="009E5D27" w:rsidRPr="009E5D27" w:rsidRDefault="009E5D27" w:rsidP="005F3416">
            <w:pPr>
              <w:rPr>
                <w:lang w:val="fr-BE"/>
              </w:rPr>
            </w:pPr>
            <w:r w:rsidRPr="009E5D27">
              <w:rPr>
                <w:lang w:val="fr-BE"/>
              </w:rPr>
              <w:t>61</w:t>
            </w:r>
          </w:p>
        </w:tc>
        <w:tc>
          <w:tcPr>
            <w:tcW w:w="1625" w:type="dxa"/>
          </w:tcPr>
          <w:p w14:paraId="587215B0" w14:textId="77777777" w:rsidR="009E5D27" w:rsidRPr="009E5D27" w:rsidRDefault="009E5D27" w:rsidP="005F3416">
            <w:pPr>
              <w:rPr>
                <w:lang w:val="fr-BE"/>
              </w:rPr>
            </w:pPr>
            <w:r w:rsidRPr="009E5D27">
              <w:rPr>
                <w:lang w:val="fr-BE"/>
              </w:rPr>
              <w:t>COL 13/2013</w:t>
            </w:r>
          </w:p>
        </w:tc>
        <w:tc>
          <w:tcPr>
            <w:tcW w:w="6469" w:type="dxa"/>
          </w:tcPr>
          <w:p w14:paraId="2BB6F334"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homophobie</w:t>
            </w:r>
            <w:r w:rsidRPr="009E5D27">
              <w:rPr>
                <w:lang w:val="fr-BE"/>
              </w:rPr>
              <w:t> </w:t>
            </w:r>
          </w:p>
        </w:tc>
      </w:tr>
      <w:tr w:rsidR="009E5D27" w:rsidRPr="009E5D27" w14:paraId="0AC9D6BD" w14:textId="77777777" w:rsidTr="007A0BC5">
        <w:tc>
          <w:tcPr>
            <w:tcW w:w="562" w:type="dxa"/>
          </w:tcPr>
          <w:p w14:paraId="330F167A" w14:textId="77777777" w:rsidR="009E5D27" w:rsidRPr="009E5D27" w:rsidRDefault="009E5D27" w:rsidP="005F3416">
            <w:pPr>
              <w:rPr>
                <w:lang w:val="fr-BE"/>
              </w:rPr>
            </w:pPr>
            <w:r w:rsidRPr="009E5D27">
              <w:rPr>
                <w:lang w:val="fr-BE"/>
              </w:rPr>
              <w:t>62</w:t>
            </w:r>
          </w:p>
        </w:tc>
        <w:tc>
          <w:tcPr>
            <w:tcW w:w="1625" w:type="dxa"/>
          </w:tcPr>
          <w:p w14:paraId="64DE1B96" w14:textId="77777777" w:rsidR="009E5D27" w:rsidRPr="009E5D27" w:rsidRDefault="009E5D27" w:rsidP="005F3416">
            <w:pPr>
              <w:rPr>
                <w:lang w:val="fr-BE"/>
              </w:rPr>
            </w:pPr>
            <w:r w:rsidRPr="009E5D27">
              <w:rPr>
                <w:lang w:val="fr-BE"/>
              </w:rPr>
              <w:t>COL 13/2013</w:t>
            </w:r>
          </w:p>
        </w:tc>
        <w:tc>
          <w:tcPr>
            <w:tcW w:w="6469" w:type="dxa"/>
          </w:tcPr>
          <w:p w14:paraId="37D53E75" w14:textId="77777777" w:rsidR="009E5D27" w:rsidRPr="009E5D27" w:rsidRDefault="009E5D27" w:rsidP="005F3416">
            <w:pPr>
              <w:ind w:left="360"/>
              <w:rPr>
                <w:lang w:val="fr-BE"/>
              </w:rPr>
            </w:pPr>
            <w:r w:rsidRPr="009E5D27">
              <w:rPr>
                <w:lang w:val="fr-BE"/>
              </w:rPr>
              <w:t>Motif haine/</w:t>
            </w:r>
            <w:proofErr w:type="spellStart"/>
            <w:r w:rsidRPr="009E5D27">
              <w:rPr>
                <w:lang w:val="fr-BE"/>
              </w:rPr>
              <w:t>discrim</w:t>
            </w:r>
            <w:proofErr w:type="spellEnd"/>
            <w:r w:rsidRPr="009E5D27">
              <w:rPr>
                <w:lang w:val="fr-BE"/>
              </w:rPr>
              <w:t xml:space="preserve">. : </w:t>
            </w:r>
            <w:r w:rsidRPr="009E5D27">
              <w:rPr>
                <w:b/>
                <w:lang w:val="fr-BE"/>
              </w:rPr>
              <w:t>handicap</w:t>
            </w:r>
          </w:p>
        </w:tc>
      </w:tr>
      <w:tr w:rsidR="009E5D27" w:rsidRPr="00D23F13" w14:paraId="0D067293" w14:textId="77777777" w:rsidTr="007A0BC5">
        <w:tc>
          <w:tcPr>
            <w:tcW w:w="562" w:type="dxa"/>
          </w:tcPr>
          <w:p w14:paraId="7C3FC807" w14:textId="77777777" w:rsidR="009E5D27" w:rsidRPr="009E5D27" w:rsidRDefault="009E5D27" w:rsidP="005F3416">
            <w:pPr>
              <w:rPr>
                <w:lang w:val="fr-BE"/>
              </w:rPr>
            </w:pPr>
            <w:r w:rsidRPr="009E5D27">
              <w:rPr>
                <w:lang w:val="fr-BE"/>
              </w:rPr>
              <w:t>50</w:t>
            </w:r>
          </w:p>
        </w:tc>
        <w:tc>
          <w:tcPr>
            <w:tcW w:w="1625" w:type="dxa"/>
          </w:tcPr>
          <w:p w14:paraId="35E9BDAA" w14:textId="77777777" w:rsidR="009E5D27" w:rsidRPr="009E5D27" w:rsidRDefault="009E5D27" w:rsidP="005F3416">
            <w:pPr>
              <w:rPr>
                <w:lang w:val="fr-BE"/>
              </w:rPr>
            </w:pPr>
            <w:r w:rsidRPr="009E5D27">
              <w:rPr>
                <w:lang w:val="fr-BE"/>
              </w:rPr>
              <w:t>COL 13/2013</w:t>
            </w:r>
          </w:p>
        </w:tc>
        <w:tc>
          <w:tcPr>
            <w:tcW w:w="6469" w:type="dxa"/>
          </w:tcPr>
          <w:p w14:paraId="631DE5D1" w14:textId="77777777" w:rsidR="009E5D27" w:rsidRPr="009E5D27" w:rsidRDefault="009E5D27" w:rsidP="005F3416">
            <w:pPr>
              <w:rPr>
                <w:lang w:val="fr-BE"/>
              </w:rPr>
            </w:pPr>
            <w:r w:rsidRPr="009E5D27">
              <w:rPr>
                <w:lang w:val="fr-BE"/>
              </w:rPr>
              <w:t xml:space="preserve">      Motif haine/</w:t>
            </w:r>
            <w:proofErr w:type="spellStart"/>
            <w:r w:rsidRPr="009E5D27">
              <w:rPr>
                <w:lang w:val="fr-BE"/>
              </w:rPr>
              <w:t>discrim</w:t>
            </w:r>
            <w:proofErr w:type="spellEnd"/>
            <w:r w:rsidRPr="009E5D27">
              <w:rPr>
                <w:lang w:val="fr-BE"/>
              </w:rPr>
              <w:t xml:space="preserve">. : </w:t>
            </w:r>
            <w:r w:rsidRPr="009E5D27">
              <w:rPr>
                <w:b/>
                <w:lang w:val="fr-BE"/>
              </w:rPr>
              <w:t>autre motif</w:t>
            </w:r>
          </w:p>
        </w:tc>
      </w:tr>
    </w:tbl>
    <w:p w14:paraId="4B66173E" w14:textId="77777777" w:rsidR="009E5D27" w:rsidRPr="009E5D27" w:rsidRDefault="009E5D27" w:rsidP="005F3416">
      <w:pPr>
        <w:spacing w:line="259" w:lineRule="auto"/>
        <w:rPr>
          <w:rFonts w:eastAsia="Calibri"/>
          <w:szCs w:val="22"/>
          <w:lang w:val="fr-BE"/>
        </w:rPr>
      </w:pPr>
    </w:p>
    <w:p w14:paraId="269674F3" w14:textId="77777777" w:rsidR="009E5D27" w:rsidRPr="009E5D27" w:rsidRDefault="009E5D27" w:rsidP="005F3416">
      <w:pPr>
        <w:spacing w:line="259" w:lineRule="auto"/>
        <w:rPr>
          <w:rFonts w:eastAsia="Calibri"/>
          <w:b/>
          <w:szCs w:val="22"/>
          <w:u w:val="single"/>
          <w:lang w:val="fr-BE"/>
        </w:rPr>
      </w:pPr>
    </w:p>
    <w:p w14:paraId="7511566E" w14:textId="77777777" w:rsidR="009E5D27" w:rsidRPr="009E5D27" w:rsidRDefault="009E5D27" w:rsidP="005F3416">
      <w:pPr>
        <w:numPr>
          <w:ilvl w:val="0"/>
          <w:numId w:val="26"/>
        </w:numPr>
        <w:spacing w:after="160" w:line="259" w:lineRule="auto"/>
        <w:contextualSpacing/>
        <w:rPr>
          <w:rFonts w:eastAsia="Calibri"/>
          <w:szCs w:val="22"/>
          <w:u w:val="single"/>
          <w:lang w:val="fr-BE"/>
        </w:rPr>
      </w:pPr>
      <w:r w:rsidRPr="009E5D27">
        <w:rPr>
          <w:rFonts w:eastAsia="Calibri"/>
          <w:szCs w:val="22"/>
          <w:u w:val="single"/>
          <w:lang w:val="fr-BE"/>
        </w:rPr>
        <w:t>2.2. Enregistrement des infractions spécifiques</w:t>
      </w:r>
    </w:p>
    <w:p w14:paraId="352DB718" w14:textId="77777777" w:rsidR="009E5D27" w:rsidRPr="009E5D27" w:rsidRDefault="009E5D27" w:rsidP="005F3416">
      <w:pPr>
        <w:spacing w:line="259" w:lineRule="auto"/>
        <w:ind w:left="1080"/>
        <w:contextualSpacing/>
        <w:rPr>
          <w:rFonts w:eastAsia="Calibri"/>
          <w:bCs/>
          <w:szCs w:val="22"/>
          <w:u w:val="single"/>
          <w:lang w:val="fr-BE"/>
        </w:rPr>
      </w:pPr>
    </w:p>
    <w:p w14:paraId="35D5D462" w14:textId="77777777" w:rsidR="009E5D27" w:rsidRPr="009E5D27" w:rsidRDefault="009E5D27" w:rsidP="005F3416">
      <w:pPr>
        <w:spacing w:line="259" w:lineRule="auto"/>
        <w:ind w:left="360" w:firstLine="720"/>
        <w:rPr>
          <w:rFonts w:eastAsia="Calibri"/>
          <w:b/>
          <w:sz w:val="28"/>
          <w:szCs w:val="28"/>
          <w:lang w:val="fr-BE"/>
        </w:rPr>
      </w:pPr>
      <w:r w:rsidRPr="009E5D27">
        <w:rPr>
          <w:rFonts w:eastAsia="Calibri"/>
          <w:b/>
          <w:sz w:val="28"/>
          <w:szCs w:val="28"/>
          <w:lang w:val="fr-BE"/>
        </w:rPr>
        <w:t>Code de prévention spécifique + TAG contexte</w:t>
      </w:r>
    </w:p>
    <w:p w14:paraId="67418413" w14:textId="77777777" w:rsidR="009E5D27" w:rsidRPr="009E5D27" w:rsidRDefault="009E5D27" w:rsidP="005F3416">
      <w:pPr>
        <w:spacing w:line="259" w:lineRule="auto"/>
        <w:rPr>
          <w:rFonts w:eastAsia="Calibri"/>
          <w:b/>
          <w:szCs w:val="22"/>
          <w:lang w:val="fr-BE"/>
        </w:rPr>
      </w:pPr>
    </w:p>
    <w:p w14:paraId="5774A9E3" w14:textId="77777777" w:rsidR="009E5D27" w:rsidRPr="009E5D27" w:rsidRDefault="009E5D27" w:rsidP="005F3416">
      <w:pPr>
        <w:spacing w:line="259" w:lineRule="auto"/>
        <w:ind w:left="1080"/>
        <w:contextualSpacing/>
        <w:rPr>
          <w:rFonts w:eastAsia="Calibri"/>
          <w:bCs/>
          <w:szCs w:val="22"/>
          <w:lang w:val="fr-BE"/>
        </w:rPr>
      </w:pPr>
      <w:r w:rsidRPr="009E5D27">
        <w:rPr>
          <w:rFonts w:eastAsia="Calibri"/>
          <w:bCs/>
          <w:sz w:val="18"/>
          <w:szCs w:val="18"/>
          <w:lang w:val="fr-BE"/>
        </w:rPr>
        <w:t>-</w:t>
      </w:r>
      <w:r w:rsidRPr="009E5D27">
        <w:rPr>
          <w:rFonts w:eastAsia="Calibri"/>
          <w:bCs/>
          <w:szCs w:val="22"/>
          <w:lang w:val="fr-BE"/>
        </w:rPr>
        <w:t>Le TAG contexte est à sélectionner dans la même liste que celle visée au point 2.1. ci-dessus.</w:t>
      </w:r>
    </w:p>
    <w:p w14:paraId="31A65344" w14:textId="77777777" w:rsidR="009E5D27" w:rsidRPr="009E5D27" w:rsidRDefault="009E5D27" w:rsidP="005F3416">
      <w:pPr>
        <w:spacing w:line="259" w:lineRule="auto"/>
        <w:ind w:left="1080"/>
        <w:contextualSpacing/>
        <w:rPr>
          <w:rFonts w:eastAsia="Calibri"/>
          <w:bCs/>
          <w:szCs w:val="22"/>
          <w:lang w:val="fr-BE"/>
        </w:rPr>
      </w:pPr>
      <w:r w:rsidRPr="009E5D27">
        <w:rPr>
          <w:rFonts w:eastAsia="Calibri"/>
          <w:bCs/>
          <w:szCs w:val="22"/>
          <w:lang w:val="fr-BE"/>
        </w:rPr>
        <w:t>-La liste des codes de prévention spécifiques est la suivante:</w:t>
      </w:r>
    </w:p>
    <w:p w14:paraId="54D51D76" w14:textId="77777777" w:rsidR="009E5D27" w:rsidRPr="009E5D27" w:rsidRDefault="009E5D27" w:rsidP="005F3416">
      <w:pPr>
        <w:spacing w:line="259" w:lineRule="auto"/>
        <w:ind w:left="1080"/>
        <w:contextualSpacing/>
        <w:rPr>
          <w:rFonts w:eastAsia="Calibri"/>
          <w:bCs/>
          <w:szCs w:val="22"/>
          <w:lang w:val="fr-BE"/>
        </w:rPr>
      </w:pPr>
    </w:p>
    <w:tbl>
      <w:tblPr>
        <w:tblStyle w:val="Tabelraster"/>
        <w:tblW w:w="0" w:type="auto"/>
        <w:tblInd w:w="720" w:type="dxa"/>
        <w:tblLook w:val="04A0" w:firstRow="1" w:lastRow="0" w:firstColumn="1" w:lastColumn="0" w:noHBand="0" w:noVBand="1"/>
      </w:tblPr>
      <w:tblGrid>
        <w:gridCol w:w="969"/>
        <w:gridCol w:w="7202"/>
      </w:tblGrid>
      <w:tr w:rsidR="009E5D27" w:rsidRPr="00D23F13" w14:paraId="72B8D4F9" w14:textId="77777777" w:rsidTr="007A0BC5">
        <w:tc>
          <w:tcPr>
            <w:tcW w:w="976" w:type="dxa"/>
          </w:tcPr>
          <w:p w14:paraId="0ED815D5" w14:textId="77777777" w:rsidR="009E5D27" w:rsidRPr="009E5D27" w:rsidRDefault="009E5D27" w:rsidP="005F3416">
            <w:pPr>
              <w:rPr>
                <w:b/>
                <w:lang w:val="fr-BE"/>
              </w:rPr>
            </w:pPr>
            <w:r w:rsidRPr="009E5D27">
              <w:rPr>
                <w:b/>
                <w:lang w:val="fr-BE"/>
              </w:rPr>
              <w:t>56G</w:t>
            </w:r>
          </w:p>
        </w:tc>
        <w:tc>
          <w:tcPr>
            <w:tcW w:w="7320" w:type="dxa"/>
          </w:tcPr>
          <w:p w14:paraId="12CA3751" w14:textId="77777777" w:rsidR="009E5D27" w:rsidRPr="009E5D27" w:rsidRDefault="009E5D27" w:rsidP="005F3416">
            <w:pPr>
              <w:rPr>
                <w:lang w:val="fr-BE"/>
              </w:rPr>
            </w:pPr>
            <w:r w:rsidRPr="009E5D27">
              <w:rPr>
                <w:b/>
                <w:lang w:val="fr-BE"/>
              </w:rPr>
              <w:t>incitation à la discrimination, à la haine, à la violence ou à la ségrégation à l’égard d’une personne ou d’un groupe</w:t>
            </w:r>
          </w:p>
        </w:tc>
      </w:tr>
      <w:tr w:rsidR="009E5D27" w:rsidRPr="00D23F13" w14:paraId="5466854C" w14:textId="77777777" w:rsidTr="007A0BC5">
        <w:tc>
          <w:tcPr>
            <w:tcW w:w="976" w:type="dxa"/>
          </w:tcPr>
          <w:p w14:paraId="37CF374A" w14:textId="77777777" w:rsidR="009E5D27" w:rsidRPr="009E5D27" w:rsidRDefault="009E5D27" w:rsidP="005F3416">
            <w:pPr>
              <w:rPr>
                <w:b/>
                <w:lang w:val="fr-BE"/>
              </w:rPr>
            </w:pPr>
            <w:r w:rsidRPr="009E5D27">
              <w:rPr>
                <w:b/>
                <w:lang w:val="fr-BE"/>
              </w:rPr>
              <w:t>56H</w:t>
            </w:r>
          </w:p>
        </w:tc>
        <w:tc>
          <w:tcPr>
            <w:tcW w:w="7320" w:type="dxa"/>
          </w:tcPr>
          <w:p w14:paraId="2388DBD7" w14:textId="77777777" w:rsidR="009E5D27" w:rsidRPr="009E5D27" w:rsidRDefault="009E5D27" w:rsidP="005F3416">
            <w:pPr>
              <w:rPr>
                <w:lang w:val="fr-BE"/>
              </w:rPr>
            </w:pPr>
            <w:r w:rsidRPr="009E5D27">
              <w:rPr>
                <w:b/>
                <w:lang w:val="fr-BE"/>
              </w:rPr>
              <w:t xml:space="preserve">diffusion d’idées fondées sur la supériorité ou la haine raciale </w:t>
            </w:r>
          </w:p>
        </w:tc>
      </w:tr>
      <w:tr w:rsidR="009E5D27" w:rsidRPr="00D23F13" w14:paraId="6861D581" w14:textId="77777777" w:rsidTr="007A0BC5">
        <w:tc>
          <w:tcPr>
            <w:tcW w:w="976" w:type="dxa"/>
          </w:tcPr>
          <w:p w14:paraId="7C14854E" w14:textId="77777777" w:rsidR="009E5D27" w:rsidRPr="009E5D27" w:rsidRDefault="009E5D27" w:rsidP="005F3416">
            <w:pPr>
              <w:rPr>
                <w:b/>
                <w:lang w:val="fr-BE"/>
              </w:rPr>
            </w:pPr>
            <w:r w:rsidRPr="009E5D27">
              <w:rPr>
                <w:b/>
                <w:lang w:val="fr-BE"/>
              </w:rPr>
              <w:t>56I</w:t>
            </w:r>
          </w:p>
        </w:tc>
        <w:tc>
          <w:tcPr>
            <w:tcW w:w="7320" w:type="dxa"/>
          </w:tcPr>
          <w:p w14:paraId="3A4AF33A" w14:textId="77777777" w:rsidR="009E5D27" w:rsidRPr="009E5D27" w:rsidRDefault="009E5D27" w:rsidP="005F3416">
            <w:pPr>
              <w:rPr>
                <w:lang w:val="fr-BE"/>
              </w:rPr>
            </w:pPr>
            <w:r w:rsidRPr="009E5D27">
              <w:rPr>
                <w:b/>
                <w:lang w:val="fr-BE"/>
              </w:rPr>
              <w:t>appartenance à un groupe prônant la ségrégation ou la discrimination raciale</w:t>
            </w:r>
          </w:p>
        </w:tc>
      </w:tr>
      <w:tr w:rsidR="009E5D27" w:rsidRPr="009E5D27" w14:paraId="596E66E2" w14:textId="77777777" w:rsidTr="007A0BC5">
        <w:tc>
          <w:tcPr>
            <w:tcW w:w="976" w:type="dxa"/>
          </w:tcPr>
          <w:p w14:paraId="0C48A31D" w14:textId="77777777" w:rsidR="009E5D27" w:rsidRPr="009E5D27" w:rsidRDefault="009E5D27" w:rsidP="005F3416">
            <w:pPr>
              <w:rPr>
                <w:b/>
                <w:lang w:val="fr-BE"/>
              </w:rPr>
            </w:pPr>
            <w:r w:rsidRPr="009E5D27">
              <w:rPr>
                <w:b/>
                <w:lang w:val="fr-BE"/>
              </w:rPr>
              <w:t>56J</w:t>
            </w:r>
          </w:p>
        </w:tc>
        <w:tc>
          <w:tcPr>
            <w:tcW w:w="7320" w:type="dxa"/>
          </w:tcPr>
          <w:p w14:paraId="59A63C91" w14:textId="77777777" w:rsidR="009E5D27" w:rsidRPr="009E5D27" w:rsidRDefault="009E5D27" w:rsidP="005F3416">
            <w:pPr>
              <w:rPr>
                <w:lang w:val="fr-BE"/>
              </w:rPr>
            </w:pPr>
            <w:r w:rsidRPr="009E5D27">
              <w:rPr>
                <w:b/>
                <w:lang w:val="fr-BE"/>
              </w:rPr>
              <w:t>négationnisme</w:t>
            </w:r>
          </w:p>
        </w:tc>
      </w:tr>
      <w:tr w:rsidR="009E5D27" w:rsidRPr="009E5D27" w14:paraId="25DEDF91" w14:textId="77777777" w:rsidTr="007A0BC5">
        <w:tc>
          <w:tcPr>
            <w:tcW w:w="976" w:type="dxa"/>
          </w:tcPr>
          <w:p w14:paraId="7B6DCEA1" w14:textId="77777777" w:rsidR="009E5D27" w:rsidRPr="009E5D27" w:rsidRDefault="009E5D27" w:rsidP="005F3416">
            <w:pPr>
              <w:rPr>
                <w:b/>
                <w:lang w:val="fr-BE"/>
              </w:rPr>
            </w:pPr>
            <w:r w:rsidRPr="009E5D27">
              <w:rPr>
                <w:b/>
                <w:lang w:val="fr-BE"/>
              </w:rPr>
              <w:t>56K</w:t>
            </w:r>
          </w:p>
        </w:tc>
        <w:tc>
          <w:tcPr>
            <w:tcW w:w="7320" w:type="dxa"/>
          </w:tcPr>
          <w:p w14:paraId="3E9CF139" w14:textId="77777777" w:rsidR="009E5D27" w:rsidRPr="009E5D27" w:rsidRDefault="009E5D27" w:rsidP="005F3416">
            <w:pPr>
              <w:rPr>
                <w:lang w:val="fr-BE"/>
              </w:rPr>
            </w:pPr>
            <w:r w:rsidRPr="009E5D27">
              <w:rPr>
                <w:b/>
                <w:lang w:val="fr-BE"/>
              </w:rPr>
              <w:t>discrimination par un fonctionnaire</w:t>
            </w:r>
          </w:p>
        </w:tc>
      </w:tr>
      <w:tr w:rsidR="009E5D27" w:rsidRPr="009E5D27" w14:paraId="4F1622BF" w14:textId="77777777" w:rsidTr="007A0BC5">
        <w:tc>
          <w:tcPr>
            <w:tcW w:w="976" w:type="dxa"/>
          </w:tcPr>
          <w:p w14:paraId="72337891" w14:textId="77777777" w:rsidR="009E5D27" w:rsidRPr="009E5D27" w:rsidRDefault="009E5D27" w:rsidP="005F3416">
            <w:pPr>
              <w:rPr>
                <w:b/>
                <w:lang w:val="fr-BE"/>
              </w:rPr>
            </w:pPr>
            <w:r w:rsidRPr="009E5D27">
              <w:rPr>
                <w:b/>
                <w:lang w:val="fr-BE"/>
              </w:rPr>
              <w:lastRenderedPageBreak/>
              <w:t>56L</w:t>
            </w:r>
          </w:p>
        </w:tc>
        <w:tc>
          <w:tcPr>
            <w:tcW w:w="7320" w:type="dxa"/>
          </w:tcPr>
          <w:p w14:paraId="3BA54A0A" w14:textId="77777777" w:rsidR="009E5D27" w:rsidRPr="009E5D27" w:rsidRDefault="009E5D27" w:rsidP="005F3416">
            <w:pPr>
              <w:rPr>
                <w:b/>
                <w:lang w:val="fr-BE"/>
              </w:rPr>
            </w:pPr>
            <w:r w:rsidRPr="009E5D27">
              <w:rPr>
                <w:b/>
                <w:lang w:val="fr-BE"/>
              </w:rPr>
              <w:t>sexisme dans l’espace public</w:t>
            </w:r>
          </w:p>
        </w:tc>
      </w:tr>
      <w:tr w:rsidR="009E5D27" w:rsidRPr="009E5D27" w14:paraId="306E8A0D" w14:textId="77777777" w:rsidTr="007A0BC5">
        <w:tc>
          <w:tcPr>
            <w:tcW w:w="976" w:type="dxa"/>
          </w:tcPr>
          <w:p w14:paraId="1F3FCD4F" w14:textId="77777777" w:rsidR="009E5D27" w:rsidRPr="009E5D27" w:rsidRDefault="009E5D27" w:rsidP="005F3416">
            <w:pPr>
              <w:rPr>
                <w:b/>
                <w:lang w:val="fr-BE"/>
              </w:rPr>
            </w:pPr>
            <w:r w:rsidRPr="009E5D27">
              <w:rPr>
                <w:b/>
                <w:lang w:val="fr-BE"/>
              </w:rPr>
              <w:t>56M</w:t>
            </w:r>
          </w:p>
        </w:tc>
        <w:tc>
          <w:tcPr>
            <w:tcW w:w="7320" w:type="dxa"/>
          </w:tcPr>
          <w:p w14:paraId="6DB413F5" w14:textId="77777777" w:rsidR="009E5D27" w:rsidRPr="009E5D27" w:rsidRDefault="009E5D27" w:rsidP="005F3416">
            <w:pPr>
              <w:rPr>
                <w:b/>
                <w:lang w:val="fr-BE"/>
              </w:rPr>
            </w:pPr>
            <w:r w:rsidRPr="009E5D27">
              <w:rPr>
                <w:b/>
                <w:lang w:val="fr-BE"/>
              </w:rPr>
              <w:t>pratiques de conversion</w:t>
            </w:r>
          </w:p>
        </w:tc>
      </w:tr>
      <w:tr w:rsidR="009E5D27" w:rsidRPr="009E5D27" w14:paraId="7AFB47DF" w14:textId="77777777" w:rsidTr="007A0BC5">
        <w:tc>
          <w:tcPr>
            <w:tcW w:w="976" w:type="dxa"/>
          </w:tcPr>
          <w:p w14:paraId="1BB2EBDE" w14:textId="77777777" w:rsidR="009E5D27" w:rsidRPr="009E5D27" w:rsidRDefault="009E5D27" w:rsidP="005F3416">
            <w:pPr>
              <w:rPr>
                <w:b/>
                <w:lang w:val="fr-BE"/>
              </w:rPr>
            </w:pPr>
            <w:r w:rsidRPr="009E5D27">
              <w:rPr>
                <w:b/>
                <w:lang w:val="fr-BE"/>
              </w:rPr>
              <w:t>56Z</w:t>
            </w:r>
          </w:p>
        </w:tc>
        <w:tc>
          <w:tcPr>
            <w:tcW w:w="7320" w:type="dxa"/>
          </w:tcPr>
          <w:p w14:paraId="3A0F60A4" w14:textId="77777777" w:rsidR="009E5D27" w:rsidRPr="009E5D27" w:rsidRDefault="009E5D27" w:rsidP="005F3416">
            <w:pPr>
              <w:rPr>
                <w:lang w:val="fr-BE"/>
              </w:rPr>
            </w:pPr>
            <w:r w:rsidRPr="009E5D27">
              <w:rPr>
                <w:b/>
                <w:lang w:val="fr-BE"/>
              </w:rPr>
              <w:t xml:space="preserve">discrimination : autre  </w:t>
            </w:r>
          </w:p>
        </w:tc>
      </w:tr>
    </w:tbl>
    <w:p w14:paraId="15011D1E" w14:textId="77777777" w:rsidR="009E5D27" w:rsidRPr="009E5D27" w:rsidRDefault="009E5D27" w:rsidP="005F3416">
      <w:pPr>
        <w:spacing w:line="259" w:lineRule="auto"/>
        <w:ind w:left="720"/>
        <w:rPr>
          <w:rFonts w:eastAsia="Calibri"/>
          <w:szCs w:val="22"/>
          <w:lang w:val="fr-BE"/>
        </w:rPr>
      </w:pPr>
    </w:p>
    <w:p w14:paraId="66C6B8F9" w14:textId="77777777" w:rsidR="009E5D27" w:rsidRPr="009E5D27" w:rsidRDefault="009E5D27" w:rsidP="005F3416">
      <w:pPr>
        <w:spacing w:line="259" w:lineRule="auto"/>
        <w:rPr>
          <w:rFonts w:eastAsia="Calibri"/>
          <w:szCs w:val="22"/>
          <w:lang w:val="fr-BE"/>
        </w:rPr>
      </w:pPr>
    </w:p>
    <w:p w14:paraId="70B327AF" w14:textId="77777777" w:rsidR="009E5D27" w:rsidRPr="009E5D27" w:rsidRDefault="009E5D27" w:rsidP="005F3416">
      <w:pPr>
        <w:spacing w:line="259" w:lineRule="auto"/>
        <w:rPr>
          <w:rFonts w:eastAsia="Calibri"/>
          <w:szCs w:val="22"/>
          <w:lang w:val="fr-BE"/>
        </w:rPr>
      </w:pPr>
      <w:r w:rsidRPr="009E5D27">
        <w:rPr>
          <w:rFonts w:eastAsia="Calibri"/>
          <w:szCs w:val="22"/>
          <w:lang w:val="fr-BE"/>
        </w:rPr>
        <w:t>La circulaire contient un certain nombre de précisions et d’exemples pratiques.</w:t>
      </w:r>
    </w:p>
    <w:p w14:paraId="24064EC0" w14:textId="77777777" w:rsidR="009E5D27" w:rsidRPr="009E5D27" w:rsidRDefault="009E5D27" w:rsidP="005F3416">
      <w:pPr>
        <w:spacing w:line="259" w:lineRule="auto"/>
        <w:rPr>
          <w:rFonts w:eastAsia="Calibri"/>
          <w:szCs w:val="22"/>
          <w:lang w:val="fr-BE"/>
        </w:rPr>
      </w:pPr>
    </w:p>
    <w:p w14:paraId="2107DE10" w14:textId="77777777" w:rsidR="009E5D27" w:rsidRPr="009E5D27" w:rsidRDefault="009E5D27" w:rsidP="005F3416">
      <w:pPr>
        <w:spacing w:line="259" w:lineRule="auto"/>
        <w:rPr>
          <w:rFonts w:eastAsia="Calibri"/>
          <w:szCs w:val="22"/>
          <w:lang w:val="fr-BE"/>
        </w:rPr>
      </w:pPr>
      <w:r w:rsidRPr="009E5D27">
        <w:rPr>
          <w:rFonts w:eastAsia="Calibri"/>
          <w:szCs w:val="22"/>
          <w:lang w:val="fr-BE"/>
        </w:rPr>
        <w:t xml:space="preserve">La circulaire continue de prévoir la désignation de </w:t>
      </w:r>
      <w:r w:rsidRPr="009E5D27">
        <w:rPr>
          <w:rFonts w:eastAsia="Calibri"/>
          <w:b/>
          <w:bCs/>
          <w:szCs w:val="22"/>
          <w:u w:val="single"/>
          <w:lang w:val="fr-BE"/>
        </w:rPr>
        <w:t>policiers et de magistrats de référence</w:t>
      </w:r>
      <w:r w:rsidRPr="009E5D27">
        <w:rPr>
          <w:rFonts w:eastAsia="Calibri"/>
          <w:szCs w:val="22"/>
          <w:lang w:val="fr-BE"/>
        </w:rPr>
        <w:t xml:space="preserve"> à tous les niveaux dont le rôle crucial et les missions sont décrits. Elle prévoit également l’élaboration d’un </w:t>
      </w:r>
      <w:r w:rsidRPr="009E5D27">
        <w:rPr>
          <w:rFonts w:eastAsia="Calibri"/>
          <w:b/>
          <w:bCs/>
          <w:szCs w:val="22"/>
          <w:u w:val="single"/>
          <w:lang w:val="fr-BE"/>
        </w:rPr>
        <w:t>plan d’action</w:t>
      </w:r>
      <w:r w:rsidRPr="009E5D27">
        <w:rPr>
          <w:rFonts w:eastAsia="Calibri"/>
          <w:szCs w:val="22"/>
          <w:lang w:val="fr-BE"/>
        </w:rPr>
        <w:t xml:space="preserve"> dans chaque arrondissement judiciaire.</w:t>
      </w:r>
    </w:p>
    <w:p w14:paraId="45DEDC23" w14:textId="77777777" w:rsidR="009E5D27" w:rsidRPr="009E5D27" w:rsidRDefault="009E5D27" w:rsidP="005F3416">
      <w:pPr>
        <w:spacing w:line="259" w:lineRule="auto"/>
        <w:rPr>
          <w:rFonts w:eastAsia="Calibri"/>
          <w:szCs w:val="22"/>
          <w:lang w:val="fr-BE"/>
        </w:rPr>
      </w:pPr>
    </w:p>
    <w:p w14:paraId="11AFF9C4" w14:textId="77777777" w:rsidR="009E5D27" w:rsidRPr="009E5D27" w:rsidRDefault="009E5D27" w:rsidP="005F3416">
      <w:pPr>
        <w:spacing w:line="259" w:lineRule="auto"/>
        <w:rPr>
          <w:rFonts w:eastAsia="Calibri"/>
          <w:szCs w:val="22"/>
          <w:u w:val="single"/>
          <w:lang w:val="fr-BE"/>
        </w:rPr>
      </w:pPr>
      <w:r w:rsidRPr="009E5D27">
        <w:rPr>
          <w:rFonts w:eastAsia="Calibri"/>
          <w:szCs w:val="22"/>
          <w:lang w:val="fr-BE"/>
        </w:rPr>
        <w:t xml:space="preserve">Des directives sont données  aux services de police et au ministère public relativement à la </w:t>
      </w:r>
      <w:r w:rsidRPr="009E5D27">
        <w:rPr>
          <w:rFonts w:eastAsia="Calibri"/>
          <w:b/>
          <w:bCs/>
          <w:szCs w:val="22"/>
          <w:u w:val="single"/>
          <w:lang w:val="fr-BE"/>
        </w:rPr>
        <w:t>politique en matière de recherche et de poursuites des infractions</w:t>
      </w:r>
      <w:r w:rsidRPr="009E5D27">
        <w:rPr>
          <w:rFonts w:eastAsia="Calibri"/>
          <w:szCs w:val="22"/>
          <w:u w:val="single"/>
          <w:lang w:val="fr-BE"/>
        </w:rPr>
        <w:t>.</w:t>
      </w:r>
    </w:p>
    <w:p w14:paraId="270D9FE2" w14:textId="77777777" w:rsidR="009E5D27" w:rsidRPr="009E5D27" w:rsidRDefault="009E5D27" w:rsidP="005F3416">
      <w:pPr>
        <w:spacing w:line="259" w:lineRule="auto"/>
        <w:rPr>
          <w:rFonts w:eastAsia="Calibri"/>
          <w:szCs w:val="22"/>
          <w:lang w:val="fr-BE"/>
        </w:rPr>
      </w:pPr>
    </w:p>
    <w:p w14:paraId="50BB661C" w14:textId="77777777" w:rsidR="009E5D27" w:rsidRPr="009E5D27" w:rsidRDefault="009E5D27" w:rsidP="005F3416">
      <w:pPr>
        <w:pBdr>
          <w:top w:val="single" w:sz="4" w:space="1" w:color="auto"/>
          <w:left w:val="single" w:sz="4" w:space="4" w:color="auto"/>
          <w:bottom w:val="single" w:sz="4" w:space="1" w:color="auto"/>
          <w:right w:val="single" w:sz="4" w:space="4" w:color="auto"/>
        </w:pBdr>
        <w:spacing w:after="160" w:line="259" w:lineRule="auto"/>
        <w:rPr>
          <w:rFonts w:eastAsia="Calibri"/>
          <w:color w:val="000000"/>
          <w:sz w:val="27"/>
          <w:szCs w:val="27"/>
          <w:lang w:val="fr-BE"/>
        </w:rPr>
      </w:pPr>
      <w:r w:rsidRPr="009E5D27">
        <w:rPr>
          <w:rFonts w:eastAsia="Calibri"/>
          <w:b/>
          <w:bCs/>
          <w:szCs w:val="22"/>
          <w:lang w:val="fr-FR"/>
        </w:rPr>
        <w:t>Il est rappelé que les directives de la circulaire sont énoncées sans préjudice de l’application de circulaires thématiques encore plus spécifiques, notamment en matière de terrorisme ou d’extrémisme violent, en matière de violence dans le couple, en matière de violences liées à l’honneur ou dans d’autres matières.</w:t>
      </w:r>
    </w:p>
    <w:p w14:paraId="4049252D" w14:textId="77777777" w:rsidR="009E5D27" w:rsidRPr="009E5D27" w:rsidRDefault="009E5D27" w:rsidP="005F3416">
      <w:pPr>
        <w:spacing w:line="259" w:lineRule="auto"/>
        <w:rPr>
          <w:rFonts w:eastAsia="Calibri"/>
          <w:szCs w:val="22"/>
          <w:lang w:val="fr-BE"/>
        </w:rPr>
      </w:pPr>
      <w:r w:rsidRPr="009E5D27">
        <w:rPr>
          <w:rFonts w:eastAsia="Calibri"/>
          <w:szCs w:val="22"/>
          <w:lang w:val="fr-BE"/>
        </w:rPr>
        <w:t>La circulaire prévoit notamment ce qui suit :</w:t>
      </w:r>
    </w:p>
    <w:p w14:paraId="5124037E" w14:textId="77777777" w:rsidR="009E5D27" w:rsidRPr="009E5D27" w:rsidRDefault="009E5D27" w:rsidP="005F3416">
      <w:pPr>
        <w:spacing w:line="259" w:lineRule="auto"/>
        <w:rPr>
          <w:rFonts w:eastAsia="Calibri"/>
          <w:szCs w:val="22"/>
          <w:lang w:val="fr-BE"/>
        </w:rPr>
      </w:pPr>
    </w:p>
    <w:p w14:paraId="6DA6D1F0"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 xml:space="preserve">La police dresse un </w:t>
      </w:r>
      <w:r w:rsidRPr="009E5D27">
        <w:rPr>
          <w:rFonts w:eastAsia="Calibri"/>
          <w:b/>
          <w:bCs/>
          <w:szCs w:val="22"/>
          <w:lang w:val="fr-BE"/>
        </w:rPr>
        <w:t>procès-verbal</w:t>
      </w:r>
      <w:r w:rsidRPr="009E5D27">
        <w:rPr>
          <w:rFonts w:eastAsia="Calibri"/>
          <w:szCs w:val="22"/>
          <w:lang w:val="fr-BE"/>
        </w:rPr>
        <w:t xml:space="preserve"> et l’adresse au procureur du Roi ou à l’auditeur du travail à chaque indication ou constatation de faits de discrimination et de délits de haine </w:t>
      </w:r>
      <w:r w:rsidRPr="009E5D27">
        <w:rPr>
          <w:rFonts w:eastAsia="Calibri"/>
          <w:b/>
          <w:bCs/>
          <w:szCs w:val="22"/>
          <w:lang w:val="fr-BE"/>
        </w:rPr>
        <w:t xml:space="preserve">même si, </w:t>
      </w:r>
      <w:r w:rsidRPr="009E5D27">
        <w:rPr>
          <w:rFonts w:eastAsia="Calibri"/>
          <w:b/>
          <w:bCs/>
          <w:i/>
          <w:szCs w:val="22"/>
          <w:lang w:val="fr-BE"/>
        </w:rPr>
        <w:t>a priori</w:t>
      </w:r>
      <w:r w:rsidRPr="009E5D27">
        <w:rPr>
          <w:rFonts w:eastAsia="Calibri"/>
          <w:b/>
          <w:bCs/>
          <w:szCs w:val="22"/>
          <w:lang w:val="fr-BE"/>
        </w:rPr>
        <w:t>, elle estime qu’il n’y a pas d’infraction</w:t>
      </w:r>
      <w:r w:rsidRPr="009E5D27">
        <w:rPr>
          <w:rFonts w:eastAsia="Calibri"/>
          <w:szCs w:val="22"/>
          <w:lang w:val="fr-BE"/>
        </w:rPr>
        <w:t>. Il appartient au procureur du Roi ou à l’auditeur du travail d’apprécier s’ils sont constitutifs ou non d’un délit.</w:t>
      </w:r>
    </w:p>
    <w:p w14:paraId="33D0C3DF"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L’accent est mis sur l’accueil des victimes et la qualité des procès-verbaux qui doivent permettre de déceler les indices éventuels de la motivation du comportement.</w:t>
      </w:r>
    </w:p>
    <w:p w14:paraId="6AF71A33" w14:textId="77777777" w:rsidR="009E5D27" w:rsidRPr="009E5D27" w:rsidRDefault="009E5D27" w:rsidP="005F3416">
      <w:pPr>
        <w:spacing w:line="259" w:lineRule="auto"/>
        <w:rPr>
          <w:rFonts w:eastAsia="Calibri"/>
          <w:szCs w:val="22"/>
          <w:lang w:val="fr-BE"/>
        </w:rPr>
      </w:pPr>
      <w:r w:rsidRPr="009E5D27">
        <w:rPr>
          <w:rFonts w:eastAsia="Calibri"/>
          <w:szCs w:val="22"/>
          <w:lang w:val="fr-BE"/>
        </w:rPr>
        <w:t xml:space="preserve">Les cas dans lesquels un </w:t>
      </w:r>
      <w:r w:rsidRPr="009E5D27">
        <w:rPr>
          <w:rFonts w:eastAsia="Calibri"/>
          <w:b/>
          <w:bCs/>
          <w:szCs w:val="22"/>
          <w:lang w:val="fr-BE"/>
        </w:rPr>
        <w:t>avis immédiat doit obligatoirement</w:t>
      </w:r>
      <w:r w:rsidRPr="009E5D27">
        <w:rPr>
          <w:rFonts w:eastAsia="Calibri"/>
          <w:szCs w:val="22"/>
          <w:lang w:val="fr-BE"/>
        </w:rPr>
        <w:t xml:space="preserve"> être donné au magistrat sont listés :</w:t>
      </w:r>
    </w:p>
    <w:p w14:paraId="24B50EB7" w14:textId="77777777" w:rsidR="009E5D27" w:rsidRPr="009E5D27" w:rsidRDefault="009E5D27" w:rsidP="005F3416">
      <w:pPr>
        <w:spacing w:line="259" w:lineRule="auto"/>
        <w:rPr>
          <w:rFonts w:eastAsia="Calibri"/>
          <w:szCs w:val="22"/>
          <w:lang w:val="fr-BE"/>
        </w:rPr>
      </w:pPr>
    </w:p>
    <w:p w14:paraId="51024371" w14:textId="261BE08A" w:rsidR="009E5D27" w:rsidRDefault="009E5D27" w:rsidP="005F3416">
      <w:pPr>
        <w:pStyle w:val="Lijstalinea"/>
        <w:numPr>
          <w:ilvl w:val="0"/>
          <w:numId w:val="29"/>
        </w:numPr>
        <w:spacing w:after="160" w:line="259" w:lineRule="auto"/>
        <w:rPr>
          <w:rFonts w:eastAsia="Calibri"/>
          <w:szCs w:val="22"/>
          <w:lang w:val="fr-FR"/>
        </w:rPr>
      </w:pPr>
      <w:r w:rsidRPr="009E5D27">
        <w:rPr>
          <w:rFonts w:eastAsia="Calibri"/>
          <w:szCs w:val="22"/>
          <w:lang w:val="fr-FR"/>
        </w:rPr>
        <w:t>atteinte grave à l’intégrité physique, sexuelle ou psychologique de la victime (Il doit être tenu compte de la gravité de la violence et de ses conséquences physiques ou psychologiques)  ;</w:t>
      </w:r>
    </w:p>
    <w:p w14:paraId="5EE23265" w14:textId="3DC99D5C" w:rsidR="009E5D27" w:rsidRDefault="009E5D27" w:rsidP="005F3416">
      <w:pPr>
        <w:pStyle w:val="Lijstalinea"/>
        <w:numPr>
          <w:ilvl w:val="0"/>
          <w:numId w:val="29"/>
        </w:numPr>
        <w:spacing w:after="160" w:line="259" w:lineRule="auto"/>
        <w:rPr>
          <w:rFonts w:eastAsia="Calibri"/>
          <w:szCs w:val="22"/>
          <w:lang w:val="fr-FR"/>
        </w:rPr>
      </w:pPr>
      <w:r w:rsidRPr="009E5D27">
        <w:rPr>
          <w:rFonts w:eastAsia="Calibri"/>
          <w:szCs w:val="22"/>
          <w:lang w:val="fr-FR"/>
        </w:rPr>
        <w:t>incendie ;</w:t>
      </w:r>
    </w:p>
    <w:p w14:paraId="26B43F8F" w14:textId="1E920253" w:rsidR="009E5D27" w:rsidRDefault="009E5D27" w:rsidP="005F3416">
      <w:pPr>
        <w:pStyle w:val="Lijstalinea"/>
        <w:numPr>
          <w:ilvl w:val="0"/>
          <w:numId w:val="29"/>
        </w:numPr>
        <w:spacing w:after="160" w:line="259" w:lineRule="auto"/>
        <w:rPr>
          <w:rFonts w:eastAsia="Calibri"/>
          <w:szCs w:val="22"/>
          <w:lang w:val="fr-FR"/>
        </w:rPr>
      </w:pPr>
      <w:r w:rsidRPr="009E5D27">
        <w:rPr>
          <w:rFonts w:eastAsia="Calibri"/>
          <w:szCs w:val="22"/>
          <w:lang w:val="fr-FR"/>
        </w:rPr>
        <w:t>organisation criminelle ;</w:t>
      </w:r>
    </w:p>
    <w:p w14:paraId="6BF715E2" w14:textId="597E422E" w:rsidR="009E5D27" w:rsidRPr="009E5D27" w:rsidRDefault="009E5D27" w:rsidP="005F3416">
      <w:pPr>
        <w:pStyle w:val="Lijstalinea"/>
        <w:numPr>
          <w:ilvl w:val="0"/>
          <w:numId w:val="29"/>
        </w:numPr>
        <w:spacing w:after="160" w:line="259" w:lineRule="auto"/>
        <w:rPr>
          <w:rFonts w:eastAsia="Calibri"/>
          <w:szCs w:val="22"/>
          <w:lang w:val="fr-FR"/>
        </w:rPr>
      </w:pPr>
      <w:r w:rsidRPr="009E5D27">
        <w:rPr>
          <w:rFonts w:eastAsia="Calibri"/>
          <w:szCs w:val="22"/>
          <w:lang w:val="fr-FR"/>
        </w:rPr>
        <w:t xml:space="preserve">radicalisme </w:t>
      </w:r>
    </w:p>
    <w:p w14:paraId="010F5D24" w14:textId="4440209F" w:rsidR="009E5D27" w:rsidRDefault="009E5D27" w:rsidP="005F3416">
      <w:pPr>
        <w:spacing w:after="160" w:line="259" w:lineRule="auto"/>
        <w:ind w:left="360"/>
        <w:rPr>
          <w:rFonts w:eastAsia="Calibri"/>
          <w:szCs w:val="22"/>
          <w:lang w:val="fr-FR"/>
        </w:rPr>
      </w:pPr>
      <w:r w:rsidRPr="009E5D27">
        <w:rPr>
          <w:rFonts w:eastAsia="Calibri"/>
          <w:b/>
          <w:bCs/>
          <w:i/>
          <w:iCs/>
          <w:szCs w:val="22"/>
          <w:lang w:val="fr-FR"/>
        </w:rPr>
        <w:t xml:space="preserve">Attention : </w:t>
      </w:r>
      <w:r w:rsidRPr="009E5D27">
        <w:rPr>
          <w:rFonts w:eastAsia="Calibri"/>
          <w:i/>
          <w:iCs/>
          <w:szCs w:val="22"/>
          <w:lang w:val="fr-FR"/>
        </w:rPr>
        <w:t>il est rappelé que les directives de la présente circulaire sont énoncées sans préjudice de l’application de circulaires thématiques encore plus spécifiques, notamment en matière de terrorisme ou d’extrémisme violent</w:t>
      </w:r>
      <w:r w:rsidRPr="009E5D27">
        <w:rPr>
          <w:rFonts w:eastAsia="Calibri"/>
          <w:szCs w:val="22"/>
          <w:lang w:val="fr-FR"/>
        </w:rPr>
        <w:t>;</w:t>
      </w:r>
    </w:p>
    <w:p w14:paraId="4574E00E" w14:textId="54CE439A" w:rsid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récurrence des faits ;</w:t>
      </w:r>
    </w:p>
    <w:p w14:paraId="2FC458D9" w14:textId="5756C072" w:rsidR="009E5D27" w:rsidRP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lastRenderedPageBreak/>
        <w:t>des faits qui portent gravement atteinte à l’ordre public ou susceptibles d’avoir des répercussions importantes sur l’opinion publique;</w:t>
      </w:r>
    </w:p>
    <w:p w14:paraId="1A914105" w14:textId="77777777" w:rsidR="009E5D27" w:rsidRPr="009E5D27" w:rsidRDefault="009E5D27" w:rsidP="005F3416">
      <w:pPr>
        <w:spacing w:line="259" w:lineRule="auto"/>
        <w:rPr>
          <w:rFonts w:eastAsia="Calibri"/>
          <w:szCs w:val="22"/>
          <w:lang w:val="fr-FR"/>
        </w:rPr>
      </w:pPr>
    </w:p>
    <w:p w14:paraId="51781B88" w14:textId="77777777" w:rsidR="009E5D27" w:rsidRPr="009E5D27" w:rsidRDefault="009E5D27" w:rsidP="005F3416">
      <w:pPr>
        <w:spacing w:line="259" w:lineRule="auto"/>
        <w:rPr>
          <w:rFonts w:eastAsia="Calibri"/>
          <w:b/>
          <w:bCs/>
          <w:szCs w:val="22"/>
          <w:lang w:val="fr-BE"/>
        </w:rPr>
      </w:pPr>
      <w:r w:rsidRPr="009E5D27">
        <w:rPr>
          <w:rFonts w:eastAsia="Calibri"/>
          <w:szCs w:val="22"/>
          <w:lang w:val="fr-BE"/>
        </w:rPr>
        <w:t xml:space="preserve">Pour ce qui concerne le ministère public, la circulaire impose </w:t>
      </w:r>
      <w:r w:rsidRPr="009E5D27">
        <w:rPr>
          <w:rFonts w:eastAsia="Calibri"/>
          <w:b/>
          <w:bCs/>
          <w:szCs w:val="22"/>
          <w:lang w:val="fr-BE"/>
        </w:rPr>
        <w:t>une réaction adaptée pour chaque fait constitutif d’infraction.</w:t>
      </w:r>
    </w:p>
    <w:p w14:paraId="07C50B86" w14:textId="77777777" w:rsidR="009E5D27" w:rsidRPr="009E5D27" w:rsidRDefault="009E5D27" w:rsidP="005F3416">
      <w:pPr>
        <w:spacing w:line="259" w:lineRule="auto"/>
        <w:rPr>
          <w:rFonts w:eastAsia="Calibri"/>
          <w:b/>
          <w:bCs/>
          <w:szCs w:val="22"/>
          <w:lang w:val="fr-BE"/>
        </w:rPr>
      </w:pPr>
    </w:p>
    <w:p w14:paraId="2D57C25D"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 xml:space="preserve">Le ministère public doit rappeler l’auteur des faits aussi vite que possible au respect des normes de comportement en vigueur. Ce rappel peut prendre toute forme qui se trouve à la disposition du ministère public. La réaction de celui-ci doit être adaptée à chaque cas spécifique, sans tomber dans les automatismes et en tenant compte de la personnalité de l’auteur et de la victime. </w:t>
      </w:r>
      <w:r w:rsidRPr="009E5D27">
        <w:rPr>
          <w:rFonts w:eastAsia="Calibri"/>
          <w:b/>
          <w:bCs/>
          <w:szCs w:val="22"/>
          <w:lang w:val="fr-BE"/>
        </w:rPr>
        <w:t>Le classement sans suite d’opportunité est à proscrire</w:t>
      </w:r>
      <w:r w:rsidRPr="009E5D27">
        <w:rPr>
          <w:rFonts w:eastAsia="Calibri"/>
          <w:szCs w:val="22"/>
          <w:lang w:val="fr-BE"/>
        </w:rPr>
        <w:t xml:space="preserve">, sans qu’il y ait au minimum un rappel de la norme par le magistrat du parquet ou de l’auditorat. </w:t>
      </w:r>
    </w:p>
    <w:p w14:paraId="1AC8237C" w14:textId="77777777" w:rsidR="009E5D27" w:rsidRPr="009E5D27" w:rsidRDefault="009E5D27" w:rsidP="005F3416">
      <w:pPr>
        <w:spacing w:after="160" w:line="259" w:lineRule="auto"/>
        <w:rPr>
          <w:rFonts w:eastAsia="Calibri"/>
          <w:szCs w:val="22"/>
          <w:lang w:val="fr-BE"/>
        </w:rPr>
      </w:pPr>
      <w:r w:rsidRPr="009E5D27">
        <w:rPr>
          <w:rFonts w:eastAsia="Calibri"/>
          <w:szCs w:val="22"/>
          <w:lang w:val="fr-BE"/>
        </w:rPr>
        <w:t>L’</w:t>
      </w:r>
      <w:proofErr w:type="spellStart"/>
      <w:r w:rsidRPr="009E5D27">
        <w:rPr>
          <w:rFonts w:eastAsia="Calibri"/>
          <w:szCs w:val="22"/>
          <w:lang w:val="fr-BE"/>
        </w:rPr>
        <w:t>intentement</w:t>
      </w:r>
      <w:proofErr w:type="spellEnd"/>
      <w:r w:rsidRPr="009E5D27">
        <w:rPr>
          <w:rFonts w:eastAsia="Calibri"/>
          <w:szCs w:val="22"/>
          <w:lang w:val="fr-BE"/>
        </w:rPr>
        <w:t xml:space="preserve"> d’une action civile, par les parties, les institutions désignées par les législations respectives ou le ministère public (voir point IX.), pourra dans certains cas constituer une réponse adéquate et exclure toute forme de réaction pénale.</w:t>
      </w:r>
    </w:p>
    <w:p w14:paraId="0B05FA48"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L’éventail des réactions pénales est rappelé.</w:t>
      </w:r>
    </w:p>
    <w:p w14:paraId="7F5F5267"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A moins qu’une « médiation et mesures » telle que prévue à l’article 216 </w:t>
      </w:r>
      <w:r w:rsidRPr="009E5D27">
        <w:rPr>
          <w:rFonts w:eastAsia="Calibri"/>
          <w:i/>
          <w:iCs/>
          <w:szCs w:val="22"/>
          <w:lang w:val="fr-FR"/>
        </w:rPr>
        <w:t>ter</w:t>
      </w:r>
      <w:r w:rsidRPr="009E5D27">
        <w:rPr>
          <w:rFonts w:eastAsia="Calibri"/>
          <w:szCs w:val="22"/>
          <w:lang w:val="fr-FR"/>
        </w:rPr>
        <w:t xml:space="preserve"> du Code d’instruction criminelle paraisse néanmoins adéquate, la circulaire prévoit de </w:t>
      </w:r>
      <w:r w:rsidRPr="009E5D27">
        <w:rPr>
          <w:rFonts w:eastAsia="Calibri"/>
          <w:b/>
          <w:bCs/>
          <w:szCs w:val="22"/>
          <w:lang w:val="fr-FR"/>
        </w:rPr>
        <w:t>requérir un juge d’instruction en vue d’obtenir un mandat d’arrêt ou de citer directement l’auteur devant le tribunal correctionnel dans les cas d’infraction pénale dans lesquels il est question d’au moins un des critères suivants</w:t>
      </w:r>
      <w:r w:rsidRPr="009E5D27">
        <w:rPr>
          <w:rFonts w:eastAsia="Calibri"/>
          <w:szCs w:val="22"/>
          <w:lang w:val="fr-FR"/>
        </w:rPr>
        <w:t> :</w:t>
      </w:r>
    </w:p>
    <w:p w14:paraId="06E926BE" w14:textId="20805AAD" w:rsid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atteinte grave à l’intégrité physique ou psychologique de la victime (il doit être tenu compte ici de la gravité de la violence et de ses conséquences physiques ou psychologiques) ;</w:t>
      </w:r>
    </w:p>
    <w:p w14:paraId="397FFB19" w14:textId="49741E6B" w:rsid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incendie ;</w:t>
      </w:r>
    </w:p>
    <w:p w14:paraId="7DD0D122" w14:textId="1D4C488C" w:rsid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organisation criminelle ;</w:t>
      </w:r>
    </w:p>
    <w:p w14:paraId="4EF40A80" w14:textId="036C8DEE" w:rsidR="009E5D27" w:rsidRP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radicalisme </w:t>
      </w:r>
    </w:p>
    <w:p w14:paraId="0343A1CD" w14:textId="77777777" w:rsidR="009E5D27" w:rsidRPr="009E5D27" w:rsidRDefault="009E5D27" w:rsidP="005F3416">
      <w:pPr>
        <w:spacing w:after="160" w:line="259" w:lineRule="auto"/>
        <w:ind w:left="709"/>
        <w:rPr>
          <w:rFonts w:eastAsia="Calibri"/>
          <w:i/>
          <w:iCs/>
          <w:strike/>
          <w:szCs w:val="22"/>
          <w:lang w:val="fr-FR"/>
        </w:rPr>
      </w:pPr>
      <w:r w:rsidRPr="009E5D27">
        <w:rPr>
          <w:rFonts w:eastAsia="Calibri"/>
          <w:b/>
          <w:bCs/>
          <w:i/>
          <w:iCs/>
          <w:szCs w:val="22"/>
          <w:lang w:val="fr-FR"/>
        </w:rPr>
        <w:t>Attention</w:t>
      </w:r>
      <w:r w:rsidRPr="009E5D27">
        <w:rPr>
          <w:rFonts w:eastAsia="Calibri"/>
          <w:i/>
          <w:iCs/>
          <w:szCs w:val="22"/>
          <w:lang w:val="fr-FR"/>
        </w:rPr>
        <w:t xml:space="preserve"> : Il est rappelé que les directives de la présente circulaire sont énoncées sans préjudice de l’application de circulaires thématiques encore plus spécifiques, notamment en matière de terrorisme ou d’extrémisme violent ; </w:t>
      </w:r>
    </w:p>
    <w:p w14:paraId="54A2EC05" w14:textId="3687F908" w:rsid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récurrence des faits ;</w:t>
      </w:r>
    </w:p>
    <w:p w14:paraId="09455EA7" w14:textId="6E8689A8" w:rsidR="009E5D27" w:rsidRPr="009E5D27" w:rsidRDefault="009E5D27" w:rsidP="005F3416">
      <w:pPr>
        <w:pStyle w:val="Lijstalinea"/>
        <w:numPr>
          <w:ilvl w:val="0"/>
          <w:numId w:val="30"/>
        </w:numPr>
        <w:spacing w:after="160" w:line="259" w:lineRule="auto"/>
        <w:rPr>
          <w:rFonts w:eastAsia="Calibri"/>
          <w:szCs w:val="22"/>
          <w:lang w:val="fr-FR"/>
        </w:rPr>
      </w:pPr>
      <w:r w:rsidRPr="009E5D27">
        <w:rPr>
          <w:rFonts w:eastAsia="Calibri"/>
          <w:szCs w:val="22"/>
          <w:lang w:val="fr-FR"/>
        </w:rPr>
        <w:t>des faits qui portent gravement atteinte à l’ordre public ou susceptibles d’avoir des répercussions importantes sur l’opinion publique.</w:t>
      </w:r>
    </w:p>
    <w:p w14:paraId="454CE730"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Le Juge d’instruction sera également requis chaque fois qu’un devoir d’enquête relevant de sa compétence paraît nécessaire à la manifestation de la vérité.</w:t>
      </w:r>
    </w:p>
    <w:p w14:paraId="324DF0F5"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Dans la recherche de la réponse la plus adaptée aux autres infractions, le magistrat du parquet accordera une </w:t>
      </w:r>
      <w:r w:rsidRPr="009E5D27">
        <w:rPr>
          <w:rFonts w:eastAsia="Calibri"/>
          <w:b/>
          <w:bCs/>
          <w:szCs w:val="22"/>
          <w:lang w:val="fr-FR"/>
        </w:rPr>
        <w:t>attention particulière aux mesures alternatives aux poursuites</w:t>
      </w:r>
      <w:r w:rsidRPr="009E5D27">
        <w:rPr>
          <w:rFonts w:eastAsia="Calibri"/>
          <w:szCs w:val="22"/>
          <w:lang w:val="fr-FR"/>
        </w:rPr>
        <w:t xml:space="preserve">, </w:t>
      </w:r>
      <w:r w:rsidRPr="009E5D27">
        <w:rPr>
          <w:rFonts w:eastAsia="Calibri"/>
          <w:szCs w:val="22"/>
          <w:lang w:val="fr-FR"/>
        </w:rPr>
        <w:lastRenderedPageBreak/>
        <w:t>pour autant qu’elles paraissent adéquates au regard de la nature des faits et de la personnalité de l’auteur.</w:t>
      </w:r>
    </w:p>
    <w:p w14:paraId="7321BCA5"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Dans le but d’informer de leur existence, d’encourager leur utilisation mais aussi peut-être de susciter de nouvelles initiatives en la matière, la description de plusieurs mesures alternatives spécifiquement développées en matière de discrimination figure en annexe de la circulaire.</w:t>
      </w:r>
    </w:p>
    <w:p w14:paraId="704EF761" w14:textId="77777777" w:rsidR="009E5D27" w:rsidRPr="009E5D27" w:rsidRDefault="009E5D27" w:rsidP="005F3416">
      <w:pPr>
        <w:spacing w:after="160" w:line="259" w:lineRule="auto"/>
        <w:rPr>
          <w:rFonts w:eastAsia="Calibri"/>
          <w:szCs w:val="22"/>
          <w:lang w:val="fr-BE"/>
        </w:rPr>
      </w:pPr>
      <w:r w:rsidRPr="009E5D27">
        <w:rPr>
          <w:rFonts w:eastAsia="Calibri"/>
          <w:color w:val="000000"/>
          <w:szCs w:val="22"/>
          <w:lang w:val="fr-BE"/>
        </w:rPr>
        <w:t>L’</w:t>
      </w:r>
      <w:r w:rsidRPr="009E5D27">
        <w:rPr>
          <w:rFonts w:eastAsia="Calibri"/>
          <w:szCs w:val="22"/>
          <w:lang w:val="fr-BE"/>
        </w:rPr>
        <w:t xml:space="preserve"> offre du service CAPREV, en Fédération Wallonie-Bruxelles, lorsqu’un lien réel ou potentiel est constaté avec une idéologie violente </w:t>
      </w:r>
      <w:r w:rsidRPr="009E5D27">
        <w:rPr>
          <w:rFonts w:eastAsia="Calibri"/>
          <w:i/>
          <w:iCs/>
          <w:szCs w:val="22"/>
          <w:lang w:val="fr-BE"/>
        </w:rPr>
        <w:t xml:space="preserve">(idéologie raciste, xénophobe, homophobe, transphobe, </w:t>
      </w:r>
      <w:proofErr w:type="spellStart"/>
      <w:r w:rsidRPr="009E5D27">
        <w:rPr>
          <w:rFonts w:eastAsia="Calibri"/>
          <w:i/>
          <w:iCs/>
          <w:szCs w:val="22"/>
          <w:lang w:val="fr-BE"/>
        </w:rPr>
        <w:t>masculiniste</w:t>
      </w:r>
      <w:proofErr w:type="spellEnd"/>
      <w:r w:rsidRPr="009E5D27">
        <w:rPr>
          <w:rFonts w:eastAsia="Calibri"/>
          <w:i/>
          <w:iCs/>
          <w:szCs w:val="22"/>
          <w:lang w:val="fr-BE"/>
        </w:rPr>
        <w:t>, etc.)</w:t>
      </w:r>
      <w:r w:rsidRPr="009E5D27">
        <w:rPr>
          <w:rFonts w:eastAsia="Calibri"/>
          <w:szCs w:val="22"/>
          <w:lang w:val="fr-BE"/>
        </w:rPr>
        <w:t xml:space="preserve"> figure en annexe de la COL</w:t>
      </w:r>
    </w:p>
    <w:p w14:paraId="29B59D6D" w14:textId="6A826050"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L’accent est mis sur l’assistance aux victimes avec la </w:t>
      </w:r>
      <w:r w:rsidRPr="009E5D27">
        <w:rPr>
          <w:rFonts w:eastAsia="Calibri"/>
          <w:b/>
          <w:bCs/>
          <w:szCs w:val="22"/>
          <w:lang w:val="fr-FR"/>
        </w:rPr>
        <w:t xml:space="preserve">saisine du </w:t>
      </w:r>
      <w:proofErr w:type="spellStart"/>
      <w:r w:rsidRPr="009E5D27">
        <w:rPr>
          <w:rFonts w:eastAsia="Calibri"/>
          <w:b/>
          <w:bCs/>
          <w:szCs w:val="22"/>
          <w:lang w:val="fr-FR"/>
        </w:rPr>
        <w:t>SAcV</w:t>
      </w:r>
      <w:proofErr w:type="spellEnd"/>
      <w:r w:rsidRPr="009E5D27">
        <w:rPr>
          <w:rFonts w:eastAsia="Calibri"/>
          <w:szCs w:val="22"/>
          <w:lang w:val="fr-FR"/>
        </w:rPr>
        <w:t xml:space="preserve"> qui doit être </w:t>
      </w:r>
      <w:r w:rsidRPr="009E5D27">
        <w:rPr>
          <w:rFonts w:eastAsia="Calibri"/>
          <w:b/>
          <w:bCs/>
          <w:szCs w:val="22"/>
          <w:lang w:val="fr-FR"/>
        </w:rPr>
        <w:t>systématique en cas de mise à disposition ou de saisine du juge d’instruction</w:t>
      </w:r>
      <w:r w:rsidRPr="009E5D27">
        <w:rPr>
          <w:rFonts w:eastAsia="Calibri"/>
          <w:szCs w:val="22"/>
          <w:lang w:val="fr-FR"/>
        </w:rPr>
        <w:t xml:space="preserve"> et qui est laissée à l’appréciation du magistrat dans les autres cas.</w:t>
      </w:r>
    </w:p>
    <w:p w14:paraId="40E555DA" w14:textId="391B61C4"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Les compétences du ministère public dans le cadre de la </w:t>
      </w:r>
      <w:r w:rsidRPr="009E5D27">
        <w:rPr>
          <w:rFonts w:eastAsia="Calibri"/>
          <w:b/>
          <w:bCs/>
          <w:szCs w:val="22"/>
          <w:u w:val="single"/>
          <w:lang w:val="fr-FR"/>
        </w:rPr>
        <w:t>procédure civile</w:t>
      </w:r>
      <w:r w:rsidRPr="009E5D27">
        <w:rPr>
          <w:rFonts w:eastAsia="Calibri"/>
          <w:szCs w:val="22"/>
          <w:lang w:val="fr-FR"/>
        </w:rPr>
        <w:t xml:space="preserve"> sont rappelées.</w:t>
      </w:r>
    </w:p>
    <w:p w14:paraId="1E90CD84" w14:textId="26B5BB2D" w:rsidR="009E5D27" w:rsidRPr="009E5D27" w:rsidRDefault="009E5D27" w:rsidP="005F3416">
      <w:pPr>
        <w:spacing w:after="160" w:line="259" w:lineRule="auto"/>
        <w:rPr>
          <w:rFonts w:eastAsia="Calibri"/>
          <w:b/>
          <w:bCs/>
          <w:szCs w:val="22"/>
          <w:u w:val="single"/>
          <w:lang w:val="fr-FR"/>
        </w:rPr>
      </w:pPr>
      <w:r w:rsidRPr="009E5D27">
        <w:rPr>
          <w:rFonts w:eastAsia="Calibri"/>
          <w:szCs w:val="22"/>
          <w:lang w:val="fr-FR"/>
        </w:rPr>
        <w:t xml:space="preserve">Des dispositions traitent de la </w:t>
      </w:r>
      <w:r w:rsidRPr="009E5D27">
        <w:rPr>
          <w:rFonts w:eastAsia="Calibri"/>
          <w:b/>
          <w:bCs/>
          <w:szCs w:val="22"/>
          <w:u w:val="single"/>
          <w:lang w:val="fr-FR"/>
        </w:rPr>
        <w:t>formation.</w:t>
      </w:r>
    </w:p>
    <w:p w14:paraId="1E632AB8" w14:textId="7995D576" w:rsidR="009E5D27" w:rsidRPr="009E5D27" w:rsidRDefault="009E5D27" w:rsidP="005F3416">
      <w:pPr>
        <w:spacing w:after="160" w:line="259" w:lineRule="auto"/>
        <w:rPr>
          <w:rFonts w:eastAsia="Calibri"/>
          <w:szCs w:val="22"/>
          <w:lang w:val="fr-FR"/>
        </w:rPr>
      </w:pPr>
      <w:r w:rsidRPr="009E5D27">
        <w:rPr>
          <w:rFonts w:eastAsia="Calibri"/>
          <w:b/>
          <w:bCs/>
          <w:szCs w:val="22"/>
          <w:u w:val="single"/>
          <w:lang w:val="fr-FR"/>
        </w:rPr>
        <w:t>Attention</w:t>
      </w:r>
      <w:r w:rsidRPr="009E5D27">
        <w:rPr>
          <w:rFonts w:eastAsia="Calibri"/>
          <w:szCs w:val="22"/>
          <w:u w:val="single"/>
          <w:lang w:val="fr-FR"/>
        </w:rPr>
        <w:t xml:space="preserve"> : </w:t>
      </w:r>
      <w:r w:rsidRPr="009E5D27">
        <w:rPr>
          <w:rFonts w:eastAsia="Calibri"/>
          <w:szCs w:val="22"/>
          <w:lang w:val="fr-FR"/>
        </w:rPr>
        <w:t xml:space="preserve">Les dispositions qui existaient précédemment relativement à la </w:t>
      </w:r>
      <w:r w:rsidRPr="009E5D27">
        <w:rPr>
          <w:rFonts w:eastAsia="Calibri"/>
          <w:b/>
          <w:bCs/>
          <w:szCs w:val="22"/>
          <w:u w:val="single"/>
          <w:lang w:val="fr-FR"/>
        </w:rPr>
        <w:t>collaboration avec UNIA et avec l’Institut</w:t>
      </w:r>
      <w:r w:rsidRPr="009E5D27">
        <w:rPr>
          <w:rFonts w:eastAsia="Calibri"/>
          <w:szCs w:val="22"/>
          <w:lang w:val="fr-FR"/>
        </w:rPr>
        <w:t xml:space="preserve"> ne sont actuellement pas toutes reprises dans la nouvelle version de la circulaire, certaines d’entre elles (communication de la fixation des affaires en matière de discrimination et communication des jugements et arrêts prononcés) devant faire l’objet d’une réévaluation approfondie au regard notamment des compétences à présent dévolues au collège des cours et tribunaux et des dispositions applicables en matière de traitement des données personnelles.</w:t>
      </w:r>
    </w:p>
    <w:p w14:paraId="5B725E28" w14:textId="042B0762"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La circulaire </w:t>
      </w:r>
      <w:r w:rsidRPr="009E5D27">
        <w:rPr>
          <w:rFonts w:eastAsia="Calibri"/>
          <w:b/>
          <w:bCs/>
          <w:szCs w:val="22"/>
          <w:u w:val="single"/>
          <w:lang w:val="fr-FR"/>
        </w:rPr>
        <w:t>entre en vigueur le 22 avril 2024</w:t>
      </w:r>
      <w:r w:rsidRPr="009E5D27">
        <w:rPr>
          <w:rFonts w:eastAsia="Calibri"/>
          <w:szCs w:val="22"/>
          <w:lang w:val="fr-FR"/>
        </w:rPr>
        <w:t xml:space="preserve"> afin de laisser un délai aux acteurs concernés pour se familiariser avec les nouvelles dispositions et prendre les mesures utiles à leur correcte application ainsi que pour permettre la concrétisation des adaptations techniques (outil informatique).</w:t>
      </w:r>
    </w:p>
    <w:p w14:paraId="6637309C" w14:textId="77777777" w:rsidR="009E5D27" w:rsidRPr="009E5D27" w:rsidRDefault="009E5D27" w:rsidP="005F3416">
      <w:pPr>
        <w:spacing w:after="160" w:line="259" w:lineRule="auto"/>
        <w:rPr>
          <w:rFonts w:eastAsia="Calibri"/>
          <w:szCs w:val="22"/>
          <w:lang w:val="fr-FR"/>
        </w:rPr>
      </w:pPr>
      <w:r w:rsidRPr="009E5D27">
        <w:rPr>
          <w:rFonts w:eastAsia="Calibri"/>
          <w:szCs w:val="22"/>
          <w:lang w:val="fr-FR"/>
        </w:rPr>
        <w:t xml:space="preserve">Elle fera l’objet d’une </w:t>
      </w:r>
      <w:r w:rsidRPr="009E5D27">
        <w:rPr>
          <w:rFonts w:eastAsia="Calibri"/>
          <w:b/>
          <w:bCs/>
          <w:szCs w:val="22"/>
          <w:u w:val="single"/>
          <w:lang w:val="fr-FR"/>
        </w:rPr>
        <w:t>évaluation</w:t>
      </w:r>
      <w:r w:rsidRPr="009E5D27">
        <w:rPr>
          <w:rFonts w:eastAsia="Calibri"/>
          <w:szCs w:val="22"/>
          <w:lang w:val="fr-FR"/>
        </w:rPr>
        <w:t>.</w:t>
      </w:r>
    </w:p>
    <w:p w14:paraId="6122503A" w14:textId="77777777" w:rsidR="006C2AD2" w:rsidRPr="009E5D27" w:rsidRDefault="006C2AD2" w:rsidP="005F3416">
      <w:pPr>
        <w:rPr>
          <w:lang w:val="fr-FR"/>
        </w:rPr>
      </w:pPr>
    </w:p>
    <w:p w14:paraId="7C6CA971" w14:textId="13000C31" w:rsidR="006C2AD2" w:rsidRPr="009E5D27" w:rsidRDefault="006C2AD2" w:rsidP="006C2AD2">
      <w:pPr>
        <w:rPr>
          <w:lang w:val="fr-FR"/>
        </w:rPr>
      </w:pPr>
    </w:p>
    <w:sectPr w:rsidR="006C2AD2" w:rsidRPr="009E5D27" w:rsidSect="00AF7315">
      <w:headerReference w:type="default" r:id="rId8"/>
      <w:footerReference w:type="default" r:id="rId9"/>
      <w:headerReference w:type="first" r:id="rId10"/>
      <w:footerReference w:type="first" r:id="rId11"/>
      <w:type w:val="continuous"/>
      <w:pgSz w:w="11906" w:h="16838" w:code="9"/>
      <w:pgMar w:top="3544" w:right="1134" w:bottom="1304" w:left="1871"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9875" w14:textId="77777777" w:rsidR="00D37A68" w:rsidRDefault="00D37A68" w:rsidP="00D4129F">
      <w:pPr>
        <w:pStyle w:val="Plattetekst"/>
      </w:pPr>
      <w:r>
        <w:separator/>
      </w:r>
    </w:p>
  </w:endnote>
  <w:endnote w:type="continuationSeparator" w:id="0">
    <w:p w14:paraId="40A8ABF8" w14:textId="77777777" w:rsidR="00D37A68" w:rsidRDefault="00D37A68" w:rsidP="00D4129F">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6545" w14:textId="77777777" w:rsidR="006C2AD2" w:rsidRDefault="006C2AD2">
    <w:pPr>
      <w:pStyle w:val="Voettekst"/>
      <w:jc w:val="center"/>
    </w:pPr>
    <w:r>
      <w:fldChar w:fldCharType="begin"/>
    </w:r>
    <w:r>
      <w:instrText>PAGE   \* MERGEFORMAT</w:instrText>
    </w:r>
    <w:r>
      <w:fldChar w:fldCharType="separate"/>
    </w:r>
    <w:r w:rsidR="000A5662" w:rsidRPr="000A5662">
      <w:rPr>
        <w:noProof/>
        <w:lang w:val="fr-FR"/>
      </w:rPr>
      <w:t>2</w:t>
    </w:r>
    <w:r>
      <w:fldChar w:fldCharType="end"/>
    </w:r>
  </w:p>
  <w:p w14:paraId="1D3DCE80" w14:textId="77777777" w:rsidR="00D4129F" w:rsidRDefault="00D4129F" w:rsidP="00D412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7F7" w14:textId="77777777" w:rsidR="006C2AD2" w:rsidRDefault="006C2AD2">
    <w:pPr>
      <w:pStyle w:val="Voettekst"/>
      <w:jc w:val="center"/>
    </w:pPr>
    <w:r>
      <w:fldChar w:fldCharType="begin"/>
    </w:r>
    <w:r>
      <w:instrText>PAGE   \* MERGEFORMAT</w:instrText>
    </w:r>
    <w:r>
      <w:fldChar w:fldCharType="separate"/>
    </w:r>
    <w:r w:rsidR="000A5662" w:rsidRPr="000A5662">
      <w:rPr>
        <w:noProof/>
        <w:lang w:val="fr-FR"/>
      </w:rPr>
      <w:t>1</w:t>
    </w:r>
    <w:r>
      <w:fldChar w:fldCharType="end"/>
    </w:r>
  </w:p>
  <w:p w14:paraId="743D79A8" w14:textId="77777777" w:rsidR="00D4129F" w:rsidRPr="00D4129F" w:rsidRDefault="00D4129F" w:rsidP="00D412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5539" w14:textId="77777777" w:rsidR="00D37A68" w:rsidRDefault="00D37A68" w:rsidP="00D4129F"/>
  </w:footnote>
  <w:footnote w:type="continuationSeparator" w:id="0">
    <w:p w14:paraId="37321190" w14:textId="77777777" w:rsidR="00D37A68" w:rsidRDefault="00D37A68" w:rsidP="00D4129F">
      <w:pPr>
        <w:pStyle w:val="Plat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1337" w14:textId="77777777" w:rsidR="00D4129F" w:rsidRDefault="00D4129F" w:rsidP="00D4129F">
    <w:pPr>
      <w:pStyle w:val="Koptekst"/>
    </w:pPr>
  </w:p>
  <w:p w14:paraId="07B306B1" w14:textId="77777777" w:rsidR="00D4129F" w:rsidRDefault="00D4129F" w:rsidP="00D4129F">
    <w:pPr>
      <w:pStyle w:val="Koptekst"/>
    </w:pPr>
  </w:p>
  <w:p w14:paraId="7A146261" w14:textId="77777777" w:rsidR="00D4129F" w:rsidRDefault="00D4129F" w:rsidP="00D4129F">
    <w:pPr>
      <w:pStyle w:val="Koptekst"/>
    </w:pPr>
  </w:p>
  <w:p w14:paraId="7B0F1846" w14:textId="77777777" w:rsidR="00D4129F" w:rsidRDefault="00D4129F" w:rsidP="00D4129F">
    <w:pPr>
      <w:pStyle w:val="Koptekst"/>
    </w:pPr>
  </w:p>
  <w:p w14:paraId="0D232B25" w14:textId="77777777" w:rsidR="00D4129F" w:rsidRDefault="00D4129F" w:rsidP="00D4129F">
    <w:pPr>
      <w:pStyle w:val="Koptekst"/>
    </w:pPr>
  </w:p>
  <w:p w14:paraId="193AEBB5" w14:textId="77777777" w:rsidR="00D4129F" w:rsidRDefault="00D4129F" w:rsidP="00D412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258" w14:textId="77777777" w:rsidR="00D4129F" w:rsidRDefault="0064367B" w:rsidP="00D6286D">
    <w:pPr>
      <w:pStyle w:val="Koptekst"/>
      <w:spacing w:after="240"/>
      <w:jc w:val="center"/>
    </w:pPr>
    <w:r>
      <w:rPr>
        <w:noProof/>
        <w:lang w:val="en-GB" w:eastAsia="en-GB"/>
      </w:rPr>
      <w:drawing>
        <wp:anchor distT="0" distB="0" distL="114300" distR="114300" simplePos="0" relativeHeight="251659776" behindDoc="1" locked="1" layoutInCell="1" allowOverlap="1" wp14:anchorId="06197E0D" wp14:editId="1B056B3A">
          <wp:simplePos x="0" y="0"/>
          <wp:positionH relativeFrom="margin">
            <wp:align>center</wp:align>
          </wp:positionH>
          <wp:positionV relativeFrom="page">
            <wp:posOffset>447675</wp:posOffset>
          </wp:positionV>
          <wp:extent cx="1183640" cy="889635"/>
          <wp:effectExtent l="0" t="0" r="0" b="5715"/>
          <wp:wrapNone/>
          <wp:docPr id="20" name="Image 20"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OM_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2C09D" w14:textId="77777777" w:rsidR="00D4129F" w:rsidRDefault="001F63BF" w:rsidP="00D4129F">
    <w:pPr>
      <w:pStyle w:val="ARIAL11"/>
    </w:pPr>
    <w:r>
      <w:rPr>
        <w:noProof/>
        <w:lang w:val="en-GB" w:eastAsia="en-GB"/>
      </w:rPr>
      <w:drawing>
        <wp:anchor distT="0" distB="0" distL="114300" distR="114300" simplePos="0" relativeHeight="251657728" behindDoc="1" locked="0" layoutInCell="1" allowOverlap="1" wp14:anchorId="39EF53E2" wp14:editId="2D71C757">
          <wp:simplePos x="0" y="0"/>
          <wp:positionH relativeFrom="margin">
            <wp:posOffset>-55245</wp:posOffset>
          </wp:positionH>
          <wp:positionV relativeFrom="margin">
            <wp:posOffset>-552450</wp:posOffset>
          </wp:positionV>
          <wp:extent cx="5762625" cy="228600"/>
          <wp:effectExtent l="0" t="0" r="9525" b="0"/>
          <wp:wrapSquare wrapText="bothSides"/>
          <wp:docPr id="2" name="Image 1"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aakj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87"/>
    <w:multiLevelType w:val="hybridMultilevel"/>
    <w:tmpl w:val="C5B2ED9A"/>
    <w:lvl w:ilvl="0" w:tplc="1D3A797C">
      <w:start w:val="1"/>
      <w:numFmt w:val="bullet"/>
      <w:lvlText w:val="-"/>
      <w:lvlJc w:val="left"/>
      <w:pPr>
        <w:tabs>
          <w:tab w:val="num" w:pos="720"/>
        </w:tabs>
        <w:ind w:left="50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B39F7"/>
    <w:multiLevelType w:val="hybridMultilevel"/>
    <w:tmpl w:val="FEFCD05A"/>
    <w:lvl w:ilvl="0" w:tplc="6AFCAB08">
      <w:start w:val="1"/>
      <w:numFmt w:val="bullet"/>
      <w:lvlText w:val=""/>
      <w:lvlJc w:val="left"/>
      <w:pPr>
        <w:tabs>
          <w:tab w:val="num" w:pos="360"/>
        </w:tabs>
        <w:ind w:left="360" w:hanging="360"/>
      </w:pPr>
      <w:rPr>
        <w:rFonts w:ascii="Wingdings" w:hAnsi="Wingdings" w:hint="default"/>
      </w:rPr>
    </w:lvl>
    <w:lvl w:ilvl="1" w:tplc="4E08E988">
      <w:start w:val="16"/>
      <w:numFmt w:val="bullet"/>
      <w:lvlText w:val="-"/>
      <w:lvlJc w:val="left"/>
      <w:pPr>
        <w:tabs>
          <w:tab w:val="num" w:pos="417"/>
        </w:tabs>
        <w:ind w:left="417" w:hanging="57"/>
      </w:pPr>
      <w:rPr>
        <w:rFonts w:ascii="Tahoma" w:eastAsia="Times New Roman" w:hAnsi="Tahom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D35C4F"/>
    <w:multiLevelType w:val="hybridMultilevel"/>
    <w:tmpl w:val="3D904794"/>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3" w15:restartNumberingAfterBreak="0">
    <w:nsid w:val="0C210059"/>
    <w:multiLevelType w:val="hybridMultilevel"/>
    <w:tmpl w:val="E7DC9478"/>
    <w:lvl w:ilvl="0" w:tplc="4154AC5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F16CD"/>
    <w:multiLevelType w:val="hybridMultilevel"/>
    <w:tmpl w:val="C5B2ED9A"/>
    <w:lvl w:ilvl="0" w:tplc="D7A09A18">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838A6"/>
    <w:multiLevelType w:val="hybridMultilevel"/>
    <w:tmpl w:val="6F208A1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7F722E"/>
    <w:multiLevelType w:val="hybridMultilevel"/>
    <w:tmpl w:val="C5B2ED9A"/>
    <w:lvl w:ilvl="0" w:tplc="82EC3DB2">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A3AE8"/>
    <w:multiLevelType w:val="hybridMultilevel"/>
    <w:tmpl w:val="9E56F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1B1395"/>
    <w:multiLevelType w:val="hybridMultilevel"/>
    <w:tmpl w:val="E7DC9478"/>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3F7DDA"/>
    <w:multiLevelType w:val="hybridMultilevel"/>
    <w:tmpl w:val="C5B2ED9A"/>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A569E"/>
    <w:multiLevelType w:val="hybridMultilevel"/>
    <w:tmpl w:val="C5B2ED9A"/>
    <w:lvl w:ilvl="0" w:tplc="5DA878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34861"/>
    <w:multiLevelType w:val="hybridMultilevel"/>
    <w:tmpl w:val="C5B2ED9A"/>
    <w:lvl w:ilvl="0" w:tplc="5400005E">
      <w:start w:val="1"/>
      <w:numFmt w:val="bullet"/>
      <w:lvlText w:val="-"/>
      <w:lvlJc w:val="left"/>
      <w:pPr>
        <w:tabs>
          <w:tab w:val="num" w:pos="720"/>
        </w:tabs>
        <w:ind w:left="500" w:hanging="1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25640"/>
    <w:multiLevelType w:val="hybridMultilevel"/>
    <w:tmpl w:val="20863DCA"/>
    <w:lvl w:ilvl="0" w:tplc="4154AC5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B70058"/>
    <w:multiLevelType w:val="hybridMultilevel"/>
    <w:tmpl w:val="CFFA346E"/>
    <w:lvl w:ilvl="0" w:tplc="4154AC5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CF0E87"/>
    <w:multiLevelType w:val="hybridMultilevel"/>
    <w:tmpl w:val="29CCCF6A"/>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26B87"/>
    <w:multiLevelType w:val="hybridMultilevel"/>
    <w:tmpl w:val="20025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DA2651"/>
    <w:multiLevelType w:val="hybridMultilevel"/>
    <w:tmpl w:val="65D2979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DFD2590"/>
    <w:multiLevelType w:val="hybridMultilevel"/>
    <w:tmpl w:val="760AE23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212D2"/>
    <w:multiLevelType w:val="hybridMultilevel"/>
    <w:tmpl w:val="78B09514"/>
    <w:lvl w:ilvl="0" w:tplc="59129C8A">
      <w:start w:val="3"/>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502"/>
        </w:tabs>
        <w:ind w:left="502" w:hanging="360"/>
      </w:pPr>
    </w:lvl>
    <w:lvl w:ilvl="2" w:tplc="0413001B" w:tentative="1">
      <w:start w:val="1"/>
      <w:numFmt w:val="lowerRoman"/>
      <w:lvlText w:val="%3."/>
      <w:lvlJc w:val="right"/>
      <w:pPr>
        <w:tabs>
          <w:tab w:val="num" w:pos="1222"/>
        </w:tabs>
        <w:ind w:left="1222" w:hanging="180"/>
      </w:pPr>
    </w:lvl>
    <w:lvl w:ilvl="3" w:tplc="0413000F" w:tentative="1">
      <w:start w:val="1"/>
      <w:numFmt w:val="decimal"/>
      <w:lvlText w:val="%4."/>
      <w:lvlJc w:val="left"/>
      <w:pPr>
        <w:tabs>
          <w:tab w:val="num" w:pos="1942"/>
        </w:tabs>
        <w:ind w:left="1942" w:hanging="360"/>
      </w:pPr>
    </w:lvl>
    <w:lvl w:ilvl="4" w:tplc="04130019" w:tentative="1">
      <w:start w:val="1"/>
      <w:numFmt w:val="lowerLetter"/>
      <w:lvlText w:val="%5."/>
      <w:lvlJc w:val="left"/>
      <w:pPr>
        <w:tabs>
          <w:tab w:val="num" w:pos="2662"/>
        </w:tabs>
        <w:ind w:left="2662" w:hanging="360"/>
      </w:pPr>
    </w:lvl>
    <w:lvl w:ilvl="5" w:tplc="0413001B" w:tentative="1">
      <w:start w:val="1"/>
      <w:numFmt w:val="lowerRoman"/>
      <w:lvlText w:val="%6."/>
      <w:lvlJc w:val="right"/>
      <w:pPr>
        <w:tabs>
          <w:tab w:val="num" w:pos="3382"/>
        </w:tabs>
        <w:ind w:left="3382" w:hanging="180"/>
      </w:pPr>
    </w:lvl>
    <w:lvl w:ilvl="6" w:tplc="0413000F" w:tentative="1">
      <w:start w:val="1"/>
      <w:numFmt w:val="decimal"/>
      <w:lvlText w:val="%7."/>
      <w:lvlJc w:val="left"/>
      <w:pPr>
        <w:tabs>
          <w:tab w:val="num" w:pos="4102"/>
        </w:tabs>
        <w:ind w:left="4102" w:hanging="360"/>
      </w:pPr>
    </w:lvl>
    <w:lvl w:ilvl="7" w:tplc="04130019" w:tentative="1">
      <w:start w:val="1"/>
      <w:numFmt w:val="lowerLetter"/>
      <w:lvlText w:val="%8."/>
      <w:lvlJc w:val="left"/>
      <w:pPr>
        <w:tabs>
          <w:tab w:val="num" w:pos="4822"/>
        </w:tabs>
        <w:ind w:left="4822" w:hanging="360"/>
      </w:pPr>
    </w:lvl>
    <w:lvl w:ilvl="8" w:tplc="0413001B" w:tentative="1">
      <w:start w:val="1"/>
      <w:numFmt w:val="lowerRoman"/>
      <w:lvlText w:val="%9."/>
      <w:lvlJc w:val="right"/>
      <w:pPr>
        <w:tabs>
          <w:tab w:val="num" w:pos="5542"/>
        </w:tabs>
        <w:ind w:left="5542" w:hanging="180"/>
      </w:pPr>
    </w:lvl>
  </w:abstractNum>
  <w:abstractNum w:abstractNumId="19" w15:restartNumberingAfterBreak="0">
    <w:nsid w:val="5B6174F2"/>
    <w:multiLevelType w:val="hybridMultilevel"/>
    <w:tmpl w:val="760AE236"/>
    <w:lvl w:ilvl="0" w:tplc="93BC3C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287B10"/>
    <w:multiLevelType w:val="hybridMultilevel"/>
    <w:tmpl w:val="C5B2ED9A"/>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096C4F"/>
    <w:multiLevelType w:val="hybridMultilevel"/>
    <w:tmpl w:val="C5F4C7F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22687"/>
    <w:multiLevelType w:val="hybridMultilevel"/>
    <w:tmpl w:val="75C8DF72"/>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513D1"/>
    <w:multiLevelType w:val="hybridMultilevel"/>
    <w:tmpl w:val="CEA07CDE"/>
    <w:lvl w:ilvl="0" w:tplc="0409000F">
      <w:start w:val="1"/>
      <w:numFmt w:val="decimal"/>
      <w:lvlText w:val="%1."/>
      <w:lvlJc w:val="left"/>
      <w:pPr>
        <w:tabs>
          <w:tab w:val="num" w:pos="360"/>
        </w:tabs>
        <w:ind w:left="360" w:hanging="360"/>
      </w:pPr>
    </w:lvl>
    <w:lvl w:ilvl="1" w:tplc="0EA2BFD4">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67A86783"/>
    <w:multiLevelType w:val="hybridMultilevel"/>
    <w:tmpl w:val="BA862ABE"/>
    <w:lvl w:ilvl="0" w:tplc="5016CD1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F445480"/>
    <w:multiLevelType w:val="hybridMultilevel"/>
    <w:tmpl w:val="DCF2D25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6FBB277A"/>
    <w:multiLevelType w:val="hybridMultilevel"/>
    <w:tmpl w:val="798C6F3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74AA617A"/>
    <w:multiLevelType w:val="hybridMultilevel"/>
    <w:tmpl w:val="C69AB59C"/>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75FC226B"/>
    <w:multiLevelType w:val="hybridMultilevel"/>
    <w:tmpl w:val="1FDCC1C0"/>
    <w:lvl w:ilvl="0" w:tplc="4154AC5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D341D1"/>
    <w:multiLevelType w:val="hybridMultilevel"/>
    <w:tmpl w:val="C5B2ED9A"/>
    <w:lvl w:ilvl="0" w:tplc="E3BA12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8159F"/>
    <w:multiLevelType w:val="hybridMultilevel"/>
    <w:tmpl w:val="B0BE19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8A35242"/>
    <w:multiLevelType w:val="hybridMultilevel"/>
    <w:tmpl w:val="1BFC07FA"/>
    <w:lvl w:ilvl="0" w:tplc="4154AC5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811629439">
    <w:abstractNumId w:val="23"/>
  </w:num>
  <w:num w:numId="2" w16cid:durableId="1413966079">
    <w:abstractNumId w:val="18"/>
  </w:num>
  <w:num w:numId="3" w16cid:durableId="2118478340">
    <w:abstractNumId w:val="27"/>
  </w:num>
  <w:num w:numId="4" w16cid:durableId="168957179">
    <w:abstractNumId w:val="14"/>
  </w:num>
  <w:num w:numId="5" w16cid:durableId="839853356">
    <w:abstractNumId w:val="1"/>
  </w:num>
  <w:num w:numId="6" w16cid:durableId="359085155">
    <w:abstractNumId w:val="3"/>
  </w:num>
  <w:num w:numId="7" w16cid:durableId="920287549">
    <w:abstractNumId w:val="8"/>
  </w:num>
  <w:num w:numId="8" w16cid:durableId="1584024774">
    <w:abstractNumId w:val="20"/>
  </w:num>
  <w:num w:numId="9" w16cid:durableId="659161361">
    <w:abstractNumId w:val="29"/>
  </w:num>
  <w:num w:numId="10" w16cid:durableId="397824710">
    <w:abstractNumId w:val="10"/>
  </w:num>
  <w:num w:numId="11" w16cid:durableId="2147044893">
    <w:abstractNumId w:val="6"/>
  </w:num>
  <w:num w:numId="12" w16cid:durableId="1948924582">
    <w:abstractNumId w:val="0"/>
  </w:num>
  <w:num w:numId="13" w16cid:durableId="1220095206">
    <w:abstractNumId w:val="11"/>
  </w:num>
  <w:num w:numId="14" w16cid:durableId="1323119823">
    <w:abstractNumId w:val="4"/>
  </w:num>
  <w:num w:numId="15" w16cid:durableId="445584760">
    <w:abstractNumId w:val="9"/>
  </w:num>
  <w:num w:numId="16" w16cid:durableId="1651711629">
    <w:abstractNumId w:val="22"/>
  </w:num>
  <w:num w:numId="17" w16cid:durableId="136529994">
    <w:abstractNumId w:val="21"/>
  </w:num>
  <w:num w:numId="18" w16cid:durableId="801926631">
    <w:abstractNumId w:val="17"/>
  </w:num>
  <w:num w:numId="19" w16cid:durableId="1913272145">
    <w:abstractNumId w:val="19"/>
  </w:num>
  <w:num w:numId="20" w16cid:durableId="341400225">
    <w:abstractNumId w:val="5"/>
  </w:num>
  <w:num w:numId="21" w16cid:durableId="439687835">
    <w:abstractNumId w:val="2"/>
  </w:num>
  <w:num w:numId="22" w16cid:durableId="1652900412">
    <w:abstractNumId w:val="15"/>
  </w:num>
  <w:num w:numId="23" w16cid:durableId="1122991669">
    <w:abstractNumId w:val="26"/>
  </w:num>
  <w:num w:numId="24" w16cid:durableId="2114932059">
    <w:abstractNumId w:val="25"/>
  </w:num>
  <w:num w:numId="25" w16cid:durableId="1629974081">
    <w:abstractNumId w:val="7"/>
  </w:num>
  <w:num w:numId="26" w16cid:durableId="1920939815">
    <w:abstractNumId w:val="30"/>
  </w:num>
  <w:num w:numId="27" w16cid:durableId="293758488">
    <w:abstractNumId w:val="16"/>
  </w:num>
  <w:num w:numId="28" w16cid:durableId="1846509180">
    <w:abstractNumId w:val="24"/>
  </w:num>
  <w:num w:numId="29" w16cid:durableId="175727752">
    <w:abstractNumId w:val="28"/>
  </w:num>
  <w:num w:numId="30" w16cid:durableId="1311790001">
    <w:abstractNumId w:val="31"/>
  </w:num>
  <w:num w:numId="31" w16cid:durableId="418016167">
    <w:abstractNumId w:val="13"/>
  </w:num>
  <w:num w:numId="32" w16cid:durableId="2041204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97"/>
    <w:rsid w:val="00005D83"/>
    <w:rsid w:val="00054A62"/>
    <w:rsid w:val="000744AD"/>
    <w:rsid w:val="000864E4"/>
    <w:rsid w:val="000A5662"/>
    <w:rsid w:val="00124D31"/>
    <w:rsid w:val="00137EAC"/>
    <w:rsid w:val="00151A6D"/>
    <w:rsid w:val="00157F24"/>
    <w:rsid w:val="001A189E"/>
    <w:rsid w:val="001B38D1"/>
    <w:rsid w:val="001F63BF"/>
    <w:rsid w:val="002047D1"/>
    <w:rsid w:val="00215433"/>
    <w:rsid w:val="00274232"/>
    <w:rsid w:val="002A7B62"/>
    <w:rsid w:val="002B37EC"/>
    <w:rsid w:val="002D3730"/>
    <w:rsid w:val="00306743"/>
    <w:rsid w:val="00347953"/>
    <w:rsid w:val="00364173"/>
    <w:rsid w:val="003C52D7"/>
    <w:rsid w:val="004462A3"/>
    <w:rsid w:val="00457F36"/>
    <w:rsid w:val="00462197"/>
    <w:rsid w:val="00465AEF"/>
    <w:rsid w:val="00467137"/>
    <w:rsid w:val="004A7758"/>
    <w:rsid w:val="004B7E4D"/>
    <w:rsid w:val="004C0184"/>
    <w:rsid w:val="0054462A"/>
    <w:rsid w:val="0055550B"/>
    <w:rsid w:val="00566962"/>
    <w:rsid w:val="00570434"/>
    <w:rsid w:val="00576E55"/>
    <w:rsid w:val="005E654C"/>
    <w:rsid w:val="005F3416"/>
    <w:rsid w:val="0064367B"/>
    <w:rsid w:val="00671770"/>
    <w:rsid w:val="006A469D"/>
    <w:rsid w:val="006B41ED"/>
    <w:rsid w:val="006B6AF1"/>
    <w:rsid w:val="006C2AD2"/>
    <w:rsid w:val="006D7C3B"/>
    <w:rsid w:val="006E2644"/>
    <w:rsid w:val="00701374"/>
    <w:rsid w:val="007220B3"/>
    <w:rsid w:val="007A3383"/>
    <w:rsid w:val="007B2436"/>
    <w:rsid w:val="007E32AA"/>
    <w:rsid w:val="00801E33"/>
    <w:rsid w:val="00810C39"/>
    <w:rsid w:val="00884408"/>
    <w:rsid w:val="008B452B"/>
    <w:rsid w:val="0090602E"/>
    <w:rsid w:val="00942BB6"/>
    <w:rsid w:val="00977EE4"/>
    <w:rsid w:val="00982CF5"/>
    <w:rsid w:val="009B3788"/>
    <w:rsid w:val="009E5D27"/>
    <w:rsid w:val="00A16073"/>
    <w:rsid w:val="00A160DF"/>
    <w:rsid w:val="00A16869"/>
    <w:rsid w:val="00AA238F"/>
    <w:rsid w:val="00AA4E3D"/>
    <w:rsid w:val="00AC1893"/>
    <w:rsid w:val="00AF63EF"/>
    <w:rsid w:val="00AF7315"/>
    <w:rsid w:val="00B04626"/>
    <w:rsid w:val="00B44B87"/>
    <w:rsid w:val="00C21BC6"/>
    <w:rsid w:val="00C93590"/>
    <w:rsid w:val="00CA2959"/>
    <w:rsid w:val="00CA50F8"/>
    <w:rsid w:val="00CF31CD"/>
    <w:rsid w:val="00D1720B"/>
    <w:rsid w:val="00D23F13"/>
    <w:rsid w:val="00D372DF"/>
    <w:rsid w:val="00D37A68"/>
    <w:rsid w:val="00D40780"/>
    <w:rsid w:val="00D4129F"/>
    <w:rsid w:val="00D6286D"/>
    <w:rsid w:val="00D92488"/>
    <w:rsid w:val="00DD5E04"/>
    <w:rsid w:val="00DE77F9"/>
    <w:rsid w:val="00E05F0B"/>
    <w:rsid w:val="00E53E8C"/>
    <w:rsid w:val="00E5683F"/>
    <w:rsid w:val="00F2712D"/>
    <w:rsid w:val="00F35A43"/>
    <w:rsid w:val="00F4296C"/>
    <w:rsid w:val="00F74068"/>
    <w:rsid w:val="00F94CD6"/>
    <w:rsid w:val="00FA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FFF3989"/>
  <w15:chartTrackingRefBased/>
  <w15:docId w15:val="{6DB62035-DE2D-48A5-BD21-90744201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129F"/>
    <w:pPr>
      <w:jc w:val="both"/>
    </w:pPr>
    <w:rPr>
      <w:rFonts w:ascii="Arial" w:hAnsi="Arial" w:cs="Arial"/>
      <w:sz w:val="22"/>
      <w:lang w:val="nl-NL" w:eastAsia="en-US"/>
    </w:rPr>
  </w:style>
  <w:style w:type="paragraph" w:styleId="Kop4">
    <w:name w:val="heading 4"/>
    <w:basedOn w:val="Standaard"/>
    <w:next w:val="Standaard"/>
    <w:qFormat/>
    <w:rsid w:val="00462197"/>
    <w:pPr>
      <w:keepNext/>
      <w:spacing w:before="240" w:after="60"/>
      <w:outlineLvl w:val="3"/>
    </w:pPr>
    <w:rPr>
      <w:b/>
      <w:bCs/>
      <w:sz w:val="28"/>
      <w:szCs w:val="28"/>
    </w:rPr>
  </w:style>
  <w:style w:type="paragraph" w:styleId="Kop6">
    <w:name w:val="heading 6"/>
    <w:basedOn w:val="Standaard"/>
    <w:next w:val="Standaard"/>
    <w:qFormat/>
    <w:pPr>
      <w:keepNext/>
      <w:tabs>
        <w:tab w:val="left" w:pos="142"/>
      </w:tabs>
      <w:ind w:right="-24"/>
      <w:jc w:val="center"/>
      <w:outlineLvl w:val="5"/>
    </w:pPr>
    <w:rPr>
      <w:rFonts w:ascii="Tahoma" w:hAnsi="Tahoma" w:cs="Tahoma"/>
      <w:b/>
      <w:smallCaps/>
      <w:sz w:val="28"/>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concern">
    <w:name w:val="concern"/>
    <w:basedOn w:val="Standaard"/>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Voetnoottekst">
    <w:name w:val="footnote text"/>
    <w:basedOn w:val="Standaard"/>
    <w:semiHidden/>
    <w:pPr>
      <w:tabs>
        <w:tab w:val="left" w:pos="567"/>
      </w:tabs>
    </w:pPr>
    <w:rPr>
      <w:sz w:val="16"/>
    </w:rPr>
  </w:style>
  <w:style w:type="character" w:styleId="Voetnootmarkering">
    <w:name w:val="footnote reference"/>
    <w:uiPriority w:val="99"/>
    <w:semiHidden/>
    <w:rPr>
      <w:rFonts w:ascii="Arial" w:hAnsi="Arial"/>
      <w:sz w:val="16"/>
      <w:vertAlign w:val="superscript"/>
    </w:rPr>
  </w:style>
  <w:style w:type="paragraph" w:styleId="Plattetekst">
    <w:name w:val="Body Text"/>
    <w:basedOn w:val="Standaard"/>
    <w:rPr>
      <w:rFonts w:ascii="Tahoma" w:hAnsi="Tahoma" w:cs="Tahoma"/>
    </w:rPr>
  </w:style>
  <w:style w:type="paragraph" w:customStyle="1" w:styleId="ARIAL11">
    <w:name w:val="ARIAL 11"/>
    <w:basedOn w:val="Standaard"/>
    <w:pPr>
      <w:spacing w:line="300" w:lineRule="atLeast"/>
    </w:pPr>
  </w:style>
  <w:style w:type="paragraph" w:styleId="Plattetekstinspringen2">
    <w:name w:val="Body Text Indent 2"/>
    <w:basedOn w:val="Standaard"/>
    <w:pPr>
      <w:ind w:left="100"/>
    </w:pPr>
    <w:rPr>
      <w:lang w:val="fr-FR"/>
    </w:rPr>
  </w:style>
  <w:style w:type="character" w:styleId="Hyperlink">
    <w:name w:val="Hyperlink"/>
    <w:rPr>
      <w:color w:val="0000FF"/>
      <w:u w:val="single"/>
    </w:rPr>
  </w:style>
  <w:style w:type="character" w:customStyle="1" w:styleId="KoptekstChar">
    <w:name w:val="Koptekst Char"/>
    <w:link w:val="Koptekst"/>
    <w:uiPriority w:val="99"/>
    <w:rsid w:val="00A16869"/>
    <w:rPr>
      <w:lang w:val="nl-NL" w:eastAsia="en-US"/>
    </w:rPr>
  </w:style>
  <w:style w:type="character" w:customStyle="1" w:styleId="VoettekstChar">
    <w:name w:val="Voettekst Char"/>
    <w:link w:val="Voettekst"/>
    <w:uiPriority w:val="99"/>
    <w:rsid w:val="00A16869"/>
    <w:rPr>
      <w:lang w:val="nl-NL" w:eastAsia="en-US"/>
    </w:rPr>
  </w:style>
  <w:style w:type="paragraph" w:styleId="Geenafstand">
    <w:name w:val="No Spacing"/>
    <w:uiPriority w:val="1"/>
    <w:qFormat/>
    <w:rsid w:val="00364173"/>
    <w:rPr>
      <w:lang w:val="nl-NL" w:eastAsia="en-US"/>
    </w:rPr>
  </w:style>
  <w:style w:type="paragraph" w:styleId="Titel">
    <w:name w:val="Title"/>
    <w:basedOn w:val="Standaard"/>
    <w:next w:val="Standaard"/>
    <w:link w:val="TitelChar"/>
    <w:qFormat/>
    <w:rsid w:val="00D4129F"/>
    <w:pPr>
      <w:spacing w:before="240" w:after="60"/>
      <w:jc w:val="center"/>
      <w:outlineLvl w:val="0"/>
    </w:pPr>
    <w:rPr>
      <w:rFonts w:ascii="Calibri Light" w:hAnsi="Calibri Light" w:cs="Times New Roman"/>
      <w:b/>
      <w:bCs/>
      <w:kern w:val="28"/>
      <w:sz w:val="32"/>
      <w:szCs w:val="32"/>
    </w:rPr>
  </w:style>
  <w:style w:type="character" w:customStyle="1" w:styleId="TitelChar">
    <w:name w:val="Titel Char"/>
    <w:link w:val="Titel"/>
    <w:rsid w:val="00D4129F"/>
    <w:rPr>
      <w:rFonts w:ascii="Calibri Light" w:eastAsia="Times New Roman" w:hAnsi="Calibri Light" w:cs="Times New Roman"/>
      <w:b/>
      <w:bCs/>
      <w:kern w:val="28"/>
      <w:sz w:val="32"/>
      <w:szCs w:val="32"/>
      <w:lang w:val="nl-NL" w:eastAsia="en-US"/>
    </w:rPr>
  </w:style>
  <w:style w:type="table" w:styleId="Tabelraster">
    <w:name w:val="Table Grid"/>
    <w:basedOn w:val="Standaardtabel"/>
    <w:uiPriority w:val="59"/>
    <w:rsid w:val="009E5D27"/>
    <w:rPr>
      <w:rFonts w:ascii="Calibri" w:eastAsia="Calibri" w:hAnsi="Calibr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E5D27"/>
    <w:pPr>
      <w:ind w:left="720"/>
      <w:contextualSpacing/>
    </w:pPr>
  </w:style>
  <w:style w:type="paragraph" w:styleId="Revisie">
    <w:name w:val="Revision"/>
    <w:hidden/>
    <w:uiPriority w:val="99"/>
    <w:semiHidden/>
    <w:rsid w:val="005F3416"/>
    <w:rPr>
      <w:rFonts w:ascii="Arial" w:hAnsi="Arial" w:cs="Arial"/>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20Word\Conclusies\conclusie_nl_portra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598D96474209B45B1840845F5E2F9B8" ma:contentTypeVersion="30" ma:contentTypeDescription="Create a new document." ma:contentTypeScope="" ma:versionID="cb522ad92a5d7d58865a13cd9085267b">
  <xsd:schema xmlns:xsd="http://www.w3.org/2001/XMLSchema" xmlns:xs="http://www.w3.org/2001/XMLSchema" xmlns:p="http://schemas.microsoft.com/office/2006/metadata/properties" xmlns:ns2="7741c786-6a65-49f6-9893-63d25953afe2" xmlns:ns3="4ebc61cc-401b-46b2-aa1f-6f8ae816f35d" xmlns:ns4="a7b6033b-7837-48e4-b621-092878a80482" targetNamespace="http://schemas.microsoft.com/office/2006/metadata/properties" ma:root="true" ma:fieldsID="d80938e0408a991d0252ed358977fda9" ns2:_="" ns3:_="" ns4:_="">
    <xsd:import namespace="7741c786-6a65-49f6-9893-63d25953afe2"/>
    <xsd:import namespace="4ebc61cc-401b-46b2-aa1f-6f8ae816f35d"/>
    <xsd:import namespace="a7b6033b-7837-48e4-b621-092878a80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c786-6a65-49f6-9893-63d25953af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1b2610-8ca3-4954-baf1-f497d7f4f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61cc-401b-46b2-aa1f-6f8ae816f35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6033b-7837-48e4-b621-092878a8048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482f49-6330-4c03-b401-9c4b10ed1e34}" ma:internalName="TaxCatchAll" ma:showField="CatchAllData" ma:web="a7b6033b-7837-48e4-b621-092878a80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7b6033b-7837-48e4-b621-092878a80482" xsi:nil="true"/>
    <lcf76f155ced4ddcb4097134ff3c332f xmlns="7741c786-6a65-49f6-9893-63d25953a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EFFFA-095C-440B-9118-4D246DCE4FE6}">
  <ds:schemaRefs>
    <ds:schemaRef ds:uri="http://schemas.openxmlformats.org/officeDocument/2006/bibliography"/>
  </ds:schemaRefs>
</ds:datastoreItem>
</file>

<file path=customXml/itemProps2.xml><?xml version="1.0" encoding="utf-8"?>
<ds:datastoreItem xmlns:ds="http://schemas.openxmlformats.org/officeDocument/2006/customXml" ds:itemID="{8B8EA026-4398-48C9-A945-A2FFB089AD9E}"/>
</file>

<file path=customXml/itemProps3.xml><?xml version="1.0" encoding="utf-8"?>
<ds:datastoreItem xmlns:ds="http://schemas.openxmlformats.org/officeDocument/2006/customXml" ds:itemID="{15FE3DE7-766F-4E5C-AC84-EF45524744EF}"/>
</file>

<file path=customXml/itemProps4.xml><?xml version="1.0" encoding="utf-8"?>
<ds:datastoreItem xmlns:ds="http://schemas.openxmlformats.org/officeDocument/2006/customXml" ds:itemID="{2F319705-0847-4559-A19B-5594BA29B0CB}"/>
</file>

<file path=customXml/itemProps5.xml><?xml version="1.0" encoding="utf-8"?>
<ds:datastoreItem xmlns:ds="http://schemas.openxmlformats.org/officeDocument/2006/customXml" ds:itemID="{9AD4262D-23FA-4242-845B-23115982AF83}"/>
</file>

<file path=docProps/app.xml><?xml version="1.0" encoding="utf-8"?>
<Properties xmlns="http://schemas.openxmlformats.org/officeDocument/2006/extended-properties" xmlns:vt="http://schemas.openxmlformats.org/officeDocument/2006/docPropsVTypes">
  <Template>conclusie_nl_portrait.dot</Template>
  <TotalTime>0</TotalTime>
  <Pages>8</Pages>
  <Words>2401</Words>
  <Characters>13719</Characters>
  <Application>Microsoft Office Word</Application>
  <DocSecurity>4</DocSecurity>
  <Lines>114</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LUDO-MOBIL</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Pinchart Deborah</cp:lastModifiedBy>
  <cp:revision>2</cp:revision>
  <cp:lastPrinted>2015-01-09T12:59:00Z</cp:lastPrinted>
  <dcterms:created xsi:type="dcterms:W3CDTF">2024-02-07T08:31:00Z</dcterms:created>
  <dcterms:modified xsi:type="dcterms:W3CDTF">2024-02-07T08:31:00Z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0x010100E598D96474209B45B1840845F5E2F9B8</vt:lpwstr>
  </property>
  <property fmtid="{D5CDD505-2E9C-101B-9397-08002B2CF9AE}" pid="3" name="_dlc_DocIdItemGuid">
    <vt:lpwstr>183cc0b4-b704-44a8-b48a-ffa3c8554c87</vt:lpwstr>
  </property>
</Properties>
</file>