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9678D" w14:textId="77777777" w:rsidR="002E66D3" w:rsidRDefault="002E66D3" w:rsidP="002E66D3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eastAsia="en-US"/>
        </w:rPr>
      </w:pPr>
      <w:bookmarkStart w:id="0" w:name="_GoBack"/>
      <w:bookmarkEnd w:id="0"/>
      <w:r w:rsidRPr="002E66D3">
        <w:rPr>
          <w:rFonts w:ascii="Arial" w:hAnsi="Arial" w:cs="Arial"/>
          <w:sz w:val="24"/>
          <w:szCs w:val="24"/>
          <w:lang w:eastAsia="en-US"/>
        </w:rPr>
        <w:t>Atelier 1: Van onderwijs naar werk (concluding observations)</w:t>
      </w:r>
    </w:p>
    <w:p w14:paraId="2DC665FD" w14:textId="77777777" w:rsidR="00AE46F8" w:rsidRDefault="00AE46F8" w:rsidP="008570FD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570FD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Concluding observations – Onderwijs (1)</w:t>
      </w:r>
    </w:p>
    <w:p w14:paraId="2F43659D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Ontwikkelen van een coherente strategie rond inclusief onderwijs</w:t>
      </w:r>
    </w:p>
    <w:p w14:paraId="479E158C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Toekennen van de nodige financiële, materiële en menselijke middelen</w:t>
      </w:r>
    </w:p>
    <w:p w14:paraId="16AD69B6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Voorzien van de nodige ondersteuning: toegankelijke schoolomgeving, redelijke aanpassingen, individuele leerplannen, technologische hulpmiddelen, toegankelijk en aangepast lesmateriaal</w:t>
      </w:r>
    </w:p>
    <w:p w14:paraId="15BD3A65" w14:textId="77777777" w:rsidR="00AE46F8" w:rsidRPr="008570FD" w:rsidRDefault="00AE46F8" w:rsidP="008570FD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570FD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Concluding observations – Onderwijs (2)</w:t>
      </w:r>
    </w:p>
    <w:p w14:paraId="1775EEEA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Gebruik van braille en gebarentaal</w:t>
      </w:r>
    </w:p>
    <w:p w14:paraId="225B3FA8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Erover waken dat inclusief onderwijs geïntegreerd wordt in de lerarenopleidingen en in de voorgezette opleidingen</w:t>
      </w:r>
    </w:p>
    <w:p w14:paraId="21A5CFCC" w14:textId="77777777" w:rsidR="00AE46F8" w:rsidRPr="008570FD" w:rsidRDefault="00AE46F8" w:rsidP="008570FD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8570FD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Concluding observations – Werk</w:t>
      </w:r>
    </w:p>
    <w:p w14:paraId="71218EB0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Maatregelen nemen die de tewerkstelling van personen met een handicap aanmoedigen (zowel overheid als privé)</w:t>
      </w:r>
    </w:p>
    <w:p w14:paraId="2F6BDE04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Garanderen van een effectieve bescherming tegen discriminatie</w:t>
      </w:r>
    </w:p>
    <w:p w14:paraId="5830FE77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Verzekeren van een adequate beroepsopleiding en toegankelijkheid</w:t>
      </w:r>
    </w:p>
    <w:p w14:paraId="6A9F1237" w14:textId="77777777" w:rsidR="00AE46F8" w:rsidRPr="008570FD" w:rsidRDefault="00AE46F8" w:rsidP="00857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8570FD">
        <w:rPr>
          <w:rFonts w:ascii="Arial" w:hAnsi="Arial" w:cs="Arial"/>
          <w:sz w:val="24"/>
          <w:szCs w:val="24"/>
          <w:lang w:eastAsia="en-US"/>
        </w:rPr>
        <w:t>Verzekeren van redelijke aanpassingen</w:t>
      </w:r>
    </w:p>
    <w:sectPr w:rsidR="00AE46F8" w:rsidRPr="008570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9C45D4"/>
    <w:lvl w:ilvl="0">
      <w:numFmt w:val="bullet"/>
      <w:lvlText w:val="*"/>
      <w:lvlJc w:val="left"/>
    </w:lvl>
  </w:abstractNum>
  <w:abstractNum w:abstractNumId="1">
    <w:nsid w:val="19AF0B3D"/>
    <w:multiLevelType w:val="hybridMultilevel"/>
    <w:tmpl w:val="30FED7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2E64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16AA"/>
    <w:multiLevelType w:val="hybridMultilevel"/>
    <w:tmpl w:val="6D829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D"/>
    <w:rsid w:val="002E66D3"/>
    <w:rsid w:val="008570FD"/>
    <w:rsid w:val="00AE46F8"/>
    <w:rsid w:val="00C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AFE29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8570FD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8570F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4574225D-7972-49C5-9F4B-6E220D1F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cbfbc-213f-4600-bba9-4dc005789790"/>
    <ds:schemaRef ds:uri="3217d715-e721-45ae-8e9a-30401c461755"/>
    <ds:schemaRef ds:uri="dc281cb7-3e92-4cf0-acc4-da79bd8f1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661B4-57D2-4F0B-8E34-561C86C2F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9124D-70AC-4C26-877B-A696F007FCA9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4ecbfbc-213f-4600-bba9-4dc005789790"/>
    <ds:schemaRef ds:uri="http://purl.org/dc/terms/"/>
    <ds:schemaRef ds:uri="3217d715-e721-45ae-8e9a-30401c461755"/>
    <ds:schemaRef ds:uri="dc281cb7-3e92-4cf0-acc4-da79bd8f188a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2014-11-20T06:49:00Z</dcterms:created>
  <dcterms:modified xsi:type="dcterms:W3CDTF">2014-11-20T06:49:00Z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