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DDD" w:rsidRDefault="00F66DDD" w:rsidP="00DA0FF4">
      <w:pPr>
        <w:jc w:val="both"/>
        <w:rPr>
          <w:b/>
          <w:lang w:val="nl-NL"/>
        </w:rPr>
      </w:pPr>
      <w:bookmarkStart w:id="0" w:name="_GoBack"/>
      <w:bookmarkEnd w:id="0"/>
    </w:p>
    <w:p w:rsidR="00F66DDD" w:rsidRDefault="00F66DDD" w:rsidP="00DA0FF4">
      <w:pPr>
        <w:jc w:val="both"/>
        <w:rPr>
          <w:b/>
          <w:lang w:val="nl-NL"/>
        </w:rPr>
      </w:pPr>
    </w:p>
    <w:p w:rsidR="00F66DDD" w:rsidRDefault="00F66DDD" w:rsidP="00DA0FF4">
      <w:pPr>
        <w:jc w:val="center"/>
        <w:rPr>
          <w:b/>
          <w:lang w:val="nl-NL"/>
        </w:rPr>
      </w:pPr>
      <w:proofErr w:type="spellStart"/>
      <w:r w:rsidRPr="008D01D5">
        <w:rPr>
          <w:b/>
          <w:lang w:val="nl-NL"/>
        </w:rPr>
        <w:t>Queering</w:t>
      </w:r>
      <w:proofErr w:type="spellEnd"/>
      <w:r w:rsidRPr="008D01D5">
        <w:rPr>
          <w:b/>
          <w:lang w:val="nl-NL"/>
        </w:rPr>
        <w:t xml:space="preserve"> </w:t>
      </w:r>
      <w:proofErr w:type="spellStart"/>
      <w:r w:rsidRPr="008D01D5">
        <w:rPr>
          <w:b/>
          <w:lang w:val="nl-NL"/>
        </w:rPr>
        <w:t>Religion</w:t>
      </w:r>
      <w:proofErr w:type="spellEnd"/>
      <w:r w:rsidRPr="008D01D5">
        <w:rPr>
          <w:b/>
          <w:lang w:val="nl-NL"/>
        </w:rPr>
        <w:t xml:space="preserve">, </w:t>
      </w:r>
      <w:proofErr w:type="spellStart"/>
      <w:r w:rsidRPr="008D01D5">
        <w:rPr>
          <w:b/>
          <w:lang w:val="nl-NL"/>
        </w:rPr>
        <w:t>Religiously</w:t>
      </w:r>
      <w:proofErr w:type="spellEnd"/>
      <w:r w:rsidRPr="008D01D5">
        <w:rPr>
          <w:b/>
          <w:lang w:val="nl-NL"/>
        </w:rPr>
        <w:t xml:space="preserve"> </w:t>
      </w:r>
      <w:proofErr w:type="spellStart"/>
      <w:r w:rsidRPr="008D01D5">
        <w:rPr>
          <w:b/>
          <w:lang w:val="nl-NL"/>
        </w:rPr>
        <w:t>Queer</w:t>
      </w:r>
      <w:proofErr w:type="spellEnd"/>
      <w:r w:rsidRPr="008D01D5">
        <w:rPr>
          <w:b/>
          <w:lang w:val="nl-NL"/>
        </w:rPr>
        <w:t>:</w:t>
      </w:r>
    </w:p>
    <w:p w:rsidR="00F66DDD" w:rsidRPr="008D01D5" w:rsidRDefault="00F66DDD" w:rsidP="00DA0FF4">
      <w:pPr>
        <w:jc w:val="center"/>
        <w:rPr>
          <w:b/>
          <w:lang w:val="nl-NL"/>
        </w:rPr>
      </w:pPr>
      <w:r w:rsidRPr="008D01D5">
        <w:rPr>
          <w:b/>
          <w:lang w:val="nl-NL"/>
        </w:rPr>
        <w:t>De verhouding tussen homoseksualiteit en religie herdenken</w:t>
      </w:r>
    </w:p>
    <w:p w:rsidR="00F66DDD" w:rsidRPr="008D01D5" w:rsidRDefault="00F66DDD" w:rsidP="00DA0FF4">
      <w:pPr>
        <w:jc w:val="center"/>
        <w:rPr>
          <w:b/>
          <w:lang w:val="nl-NL"/>
        </w:rPr>
      </w:pPr>
      <w:r w:rsidRPr="008D01D5">
        <w:rPr>
          <w:b/>
          <w:lang w:val="nl-NL"/>
        </w:rPr>
        <w:t>- Sarah Bracke</w:t>
      </w:r>
    </w:p>
    <w:p w:rsidR="00F66DDD" w:rsidRPr="00F77B86" w:rsidRDefault="00F66DDD" w:rsidP="00DA0FF4">
      <w:pPr>
        <w:jc w:val="both"/>
        <w:rPr>
          <w:lang w:val="nl-BE"/>
        </w:rPr>
      </w:pPr>
    </w:p>
    <w:p w:rsidR="00F66DDD" w:rsidRPr="00F77B86" w:rsidRDefault="00F66DDD" w:rsidP="00DA0FF4">
      <w:pPr>
        <w:jc w:val="both"/>
        <w:rPr>
          <w:lang w:val="nl-BE"/>
        </w:rPr>
      </w:pPr>
    </w:p>
    <w:p w:rsidR="00B13530" w:rsidRDefault="00F66DDD" w:rsidP="00DA0FF4">
      <w:pPr>
        <w:jc w:val="both"/>
        <w:rPr>
          <w:lang w:val="nl-NL"/>
        </w:rPr>
      </w:pPr>
      <w:r>
        <w:rPr>
          <w:lang w:val="nl-NL"/>
        </w:rPr>
        <w:t xml:space="preserve">Het uitgangspunt van mijn bijdrage is het volgende: het </w:t>
      </w:r>
      <w:r w:rsidRPr="009D0D39">
        <w:rPr>
          <w:lang w:val="nl-NL"/>
        </w:rPr>
        <w:t>debat over de relatie tussen religi</w:t>
      </w:r>
      <w:r>
        <w:rPr>
          <w:lang w:val="nl-NL"/>
        </w:rPr>
        <w:t xml:space="preserve">e en seksuele geaardheid vindt doorgaans vaak </w:t>
      </w:r>
      <w:r w:rsidRPr="009D0D39">
        <w:rPr>
          <w:lang w:val="nl-NL"/>
        </w:rPr>
        <w:t xml:space="preserve">plaats binnen een kader dat uitgaat van </w:t>
      </w:r>
      <w:r>
        <w:rPr>
          <w:lang w:val="nl-NL"/>
        </w:rPr>
        <w:t xml:space="preserve">een tegenstrijdigheid tussen twee sferen: er is religie aan de ene kant, en alles wat niet binnen </w:t>
      </w:r>
      <w:proofErr w:type="spellStart"/>
      <w:r>
        <w:rPr>
          <w:lang w:val="nl-NL"/>
        </w:rPr>
        <w:t>heteronormatieve</w:t>
      </w:r>
      <w:proofErr w:type="spellEnd"/>
      <w:r>
        <w:rPr>
          <w:lang w:val="nl-NL"/>
        </w:rPr>
        <w:t xml:space="preserve"> seksualiteit valt (en dat is wat ik hier </w:t>
      </w:r>
      <w:proofErr w:type="spellStart"/>
      <w:r w:rsidRPr="00D176DE">
        <w:rPr>
          <w:i/>
          <w:lang w:val="nl-NL"/>
        </w:rPr>
        <w:t>queer</w:t>
      </w:r>
      <w:proofErr w:type="spellEnd"/>
      <w:r>
        <w:rPr>
          <w:lang w:val="nl-NL"/>
        </w:rPr>
        <w:t xml:space="preserve"> noem) aan de andere kant, en deze verhouden zich tot elkaar als water en vuur. Ik wil hier de veronderstellingen waarop dat kader gebaseerd is problematiseren, en ben allesbehalve de eerste die dat doet.</w:t>
      </w:r>
      <w:r>
        <w:rPr>
          <w:rStyle w:val="Appelnotedebasdep"/>
          <w:lang w:val="nl-NL"/>
        </w:rPr>
        <w:footnoteReference w:id="1"/>
      </w:r>
      <w:r w:rsidR="00B13530">
        <w:rPr>
          <w:lang w:val="nl-NL"/>
        </w:rPr>
        <w:t xml:space="preserve"> </w:t>
      </w:r>
    </w:p>
    <w:p w:rsidR="00274643" w:rsidRDefault="00274643" w:rsidP="00DA0FF4">
      <w:pPr>
        <w:jc w:val="both"/>
        <w:rPr>
          <w:lang w:val="nl-NL"/>
        </w:rPr>
      </w:pPr>
    </w:p>
    <w:p w:rsidR="00F66DDD" w:rsidRDefault="00B13530" w:rsidP="00DA0FF4">
      <w:pPr>
        <w:jc w:val="both"/>
        <w:rPr>
          <w:lang w:val="nl-NL"/>
        </w:rPr>
      </w:pPr>
      <w:r>
        <w:rPr>
          <w:lang w:val="nl-NL"/>
        </w:rPr>
        <w:t>Als een voorafgaande wijze van problematiseren, wil ik de aandacht trekken op de manier</w:t>
      </w:r>
      <w:r w:rsidR="00F66DDD">
        <w:rPr>
          <w:lang w:val="nl-NL"/>
        </w:rPr>
        <w:t xml:space="preserve"> waarop dat kader gesitueerd is en omwille van </w:t>
      </w:r>
      <w:r>
        <w:rPr>
          <w:lang w:val="nl-NL"/>
        </w:rPr>
        <w:t xml:space="preserve">een aantal historische redenen </w:t>
      </w:r>
      <w:r w:rsidR="00F66DDD">
        <w:rPr>
          <w:lang w:val="nl-NL"/>
        </w:rPr>
        <w:t>sterker</w:t>
      </w:r>
      <w:r>
        <w:rPr>
          <w:lang w:val="nl-NL"/>
        </w:rPr>
        <w:t xml:space="preserve"> aanwezig is in sommige contexten</w:t>
      </w:r>
      <w:r w:rsidR="00F66DDD">
        <w:rPr>
          <w:lang w:val="nl-NL"/>
        </w:rPr>
        <w:t xml:space="preserve"> dan in andere. Voor ons debat hier en nu is het belangrijk te beseffen da</w:t>
      </w:r>
      <w:r>
        <w:rPr>
          <w:lang w:val="nl-NL"/>
        </w:rPr>
        <w:t xml:space="preserve">t de Belgische context (zoals vele </w:t>
      </w:r>
      <w:r w:rsidR="00F66DDD">
        <w:rPr>
          <w:lang w:val="nl-NL"/>
        </w:rPr>
        <w:t>Europese contexten</w:t>
      </w:r>
      <w:r>
        <w:rPr>
          <w:lang w:val="nl-NL"/>
        </w:rPr>
        <w:t>, maar lang niet allemaal</w:t>
      </w:r>
      <w:r w:rsidR="00F66DDD">
        <w:rPr>
          <w:lang w:val="nl-NL"/>
        </w:rPr>
        <w:t>) er een is waar het gewicht van dat uitg</w:t>
      </w:r>
      <w:r>
        <w:rPr>
          <w:lang w:val="nl-NL"/>
        </w:rPr>
        <w:t>angspunt van tegenstrijdigheid</w:t>
      </w:r>
      <w:r w:rsidR="00F66DDD">
        <w:rPr>
          <w:lang w:val="nl-NL"/>
        </w:rPr>
        <w:t xml:space="preserve"> erg voelbaar is. Laat mij ter contrast </w:t>
      </w:r>
      <w:r>
        <w:rPr>
          <w:lang w:val="nl-NL"/>
        </w:rPr>
        <w:t xml:space="preserve">een snelle indruk delen </w:t>
      </w:r>
      <w:r w:rsidR="00F66DDD">
        <w:rPr>
          <w:lang w:val="nl-NL"/>
        </w:rPr>
        <w:t xml:space="preserve">van hoe dat landschap van religiositeit en seksuele geaardheid er uitziet in de plaats waar ik </w:t>
      </w:r>
      <w:r>
        <w:rPr>
          <w:lang w:val="nl-NL"/>
        </w:rPr>
        <w:t>deze woorden op papier zet: hier in “New England”, het noordoosten van de Verenigde State</w:t>
      </w:r>
      <w:r w:rsidR="0079249C">
        <w:rPr>
          <w:lang w:val="nl-NL"/>
        </w:rPr>
        <w:t>n,</w:t>
      </w:r>
      <w:r>
        <w:rPr>
          <w:lang w:val="nl-NL"/>
        </w:rPr>
        <w:t xml:space="preserve"> hebben </w:t>
      </w:r>
      <w:r w:rsidR="00F66DDD">
        <w:rPr>
          <w:lang w:val="nl-NL"/>
        </w:rPr>
        <w:t xml:space="preserve">vele kerken een regenboogvlag prominent </w:t>
      </w:r>
      <w:r>
        <w:rPr>
          <w:lang w:val="nl-NL"/>
        </w:rPr>
        <w:t>vlak boven de ingang</w:t>
      </w:r>
      <w:r w:rsidR="00F66DDD">
        <w:rPr>
          <w:lang w:val="nl-NL"/>
        </w:rPr>
        <w:t xml:space="preserve"> hangen</w:t>
      </w:r>
      <w:r>
        <w:rPr>
          <w:lang w:val="nl-NL"/>
        </w:rPr>
        <w:t xml:space="preserve">; de officiële </w:t>
      </w:r>
      <w:r w:rsidR="00F66DDD">
        <w:rPr>
          <w:lang w:val="nl-NL"/>
        </w:rPr>
        <w:t>kerk</w:t>
      </w:r>
      <w:r>
        <w:rPr>
          <w:lang w:val="nl-NL"/>
        </w:rPr>
        <w:t xml:space="preserve"> van de universiteit waar ik werk</w:t>
      </w:r>
      <w:r w:rsidR="00F66DDD">
        <w:rPr>
          <w:lang w:val="nl-NL"/>
        </w:rPr>
        <w:t xml:space="preserve">, de </w:t>
      </w:r>
      <w:proofErr w:type="spellStart"/>
      <w:r w:rsidR="00F66DDD">
        <w:rPr>
          <w:lang w:val="nl-NL"/>
        </w:rPr>
        <w:t>Harvard</w:t>
      </w:r>
      <w:proofErr w:type="spellEnd"/>
      <w:r w:rsidR="00F66DDD">
        <w:rPr>
          <w:lang w:val="nl-NL"/>
        </w:rPr>
        <w:t xml:space="preserve"> Memorial </w:t>
      </w:r>
      <w:proofErr w:type="spellStart"/>
      <w:r w:rsidR="00F66DDD">
        <w:rPr>
          <w:lang w:val="nl-NL"/>
        </w:rPr>
        <w:t>Church</w:t>
      </w:r>
      <w:proofErr w:type="spellEnd"/>
      <w:r w:rsidR="00F66DDD">
        <w:rPr>
          <w:lang w:val="nl-NL"/>
        </w:rPr>
        <w:t xml:space="preserve">, heeft een werkgroep rond seksualiteit waarbij homoseksualiteit uitgebreid aan bod komt, en </w:t>
      </w:r>
      <w:r w:rsidR="00552F83">
        <w:rPr>
          <w:lang w:val="nl-NL"/>
        </w:rPr>
        <w:t>de homoseks</w:t>
      </w:r>
      <w:r>
        <w:rPr>
          <w:lang w:val="nl-NL"/>
        </w:rPr>
        <w:t xml:space="preserve">uele Afro-Amerikaanse auteur </w:t>
      </w:r>
      <w:r w:rsidR="00F66DDD">
        <w:rPr>
          <w:lang w:val="nl-NL"/>
        </w:rPr>
        <w:t>James Baldwin</w:t>
      </w:r>
      <w:r>
        <w:rPr>
          <w:lang w:val="nl-NL"/>
        </w:rPr>
        <w:t xml:space="preserve">, die </w:t>
      </w:r>
      <w:r w:rsidR="00552F83">
        <w:rPr>
          <w:lang w:val="nl-NL"/>
        </w:rPr>
        <w:t xml:space="preserve">in zijn jonge jaren </w:t>
      </w:r>
      <w:r>
        <w:rPr>
          <w:lang w:val="nl-NL"/>
        </w:rPr>
        <w:t>ooit nog als predikant begon,</w:t>
      </w:r>
      <w:r w:rsidR="00F66DDD">
        <w:rPr>
          <w:lang w:val="nl-NL"/>
        </w:rPr>
        <w:t xml:space="preserve"> is er een vaak gehoorde referentie op de preekstoel. Aan de </w:t>
      </w:r>
      <w:proofErr w:type="spellStart"/>
      <w:r w:rsidR="00F66DDD">
        <w:rPr>
          <w:lang w:val="nl-NL"/>
        </w:rPr>
        <w:t>Harvard</w:t>
      </w:r>
      <w:proofErr w:type="spellEnd"/>
      <w:r w:rsidR="00F66DDD">
        <w:rPr>
          <w:lang w:val="nl-NL"/>
        </w:rPr>
        <w:t xml:space="preserve"> </w:t>
      </w:r>
      <w:proofErr w:type="spellStart"/>
      <w:r w:rsidR="00F66DDD">
        <w:rPr>
          <w:lang w:val="nl-NL"/>
        </w:rPr>
        <w:t>Divinity</w:t>
      </w:r>
      <w:proofErr w:type="spellEnd"/>
      <w:r w:rsidR="00F66DDD">
        <w:rPr>
          <w:lang w:val="nl-NL"/>
        </w:rPr>
        <w:t xml:space="preserve"> School</w:t>
      </w:r>
      <w:r w:rsidR="00552F83">
        <w:rPr>
          <w:lang w:val="nl-NL"/>
        </w:rPr>
        <w:t xml:space="preserve">, dus de faculteit theologie en religiewetenschappen, </w:t>
      </w:r>
      <w:r w:rsidR="00F66DDD">
        <w:rPr>
          <w:lang w:val="nl-NL"/>
        </w:rPr>
        <w:t xml:space="preserve"> zijn </w:t>
      </w:r>
      <w:r w:rsidR="00274643">
        <w:rPr>
          <w:lang w:val="nl-NL"/>
        </w:rPr>
        <w:t xml:space="preserve">meerdere LGBT </w:t>
      </w:r>
      <w:r w:rsidR="00F66DDD">
        <w:rPr>
          <w:lang w:val="nl-NL"/>
        </w:rPr>
        <w:t>groepen ac</w:t>
      </w:r>
      <w:r w:rsidR="00552F83">
        <w:rPr>
          <w:lang w:val="nl-NL"/>
        </w:rPr>
        <w:t>tief, waaronder</w:t>
      </w:r>
      <w:r w:rsidR="00F66DDD">
        <w:rPr>
          <w:lang w:val="nl-NL"/>
        </w:rPr>
        <w:t xml:space="preserve"> e</w:t>
      </w:r>
      <w:r w:rsidR="00552F83">
        <w:rPr>
          <w:lang w:val="nl-NL"/>
        </w:rPr>
        <w:t xml:space="preserve">en </w:t>
      </w:r>
      <w:proofErr w:type="spellStart"/>
      <w:r w:rsidR="00552F83" w:rsidRPr="00D176DE">
        <w:rPr>
          <w:i/>
          <w:lang w:val="nl-NL"/>
        </w:rPr>
        <w:t>queer</w:t>
      </w:r>
      <w:proofErr w:type="spellEnd"/>
      <w:r w:rsidR="00552F83" w:rsidRPr="00D176DE">
        <w:rPr>
          <w:i/>
          <w:lang w:val="nl-NL"/>
        </w:rPr>
        <w:t xml:space="preserve"> </w:t>
      </w:r>
      <w:proofErr w:type="spellStart"/>
      <w:r w:rsidR="00552F83" w:rsidRPr="00D176DE">
        <w:rPr>
          <w:i/>
          <w:lang w:val="nl-NL"/>
        </w:rPr>
        <w:t>Muslim</w:t>
      </w:r>
      <w:proofErr w:type="spellEnd"/>
      <w:r w:rsidR="00552F83">
        <w:rPr>
          <w:lang w:val="nl-NL"/>
        </w:rPr>
        <w:t xml:space="preserve"> groep; en toen niet zo lang geleden </w:t>
      </w:r>
      <w:r w:rsidR="00F66DDD">
        <w:rPr>
          <w:lang w:val="nl-NL"/>
        </w:rPr>
        <w:t xml:space="preserve">een aantal studenten naar de decaan van de school trokken om te vragen om opnieuw een leerstoel in </w:t>
      </w:r>
      <w:proofErr w:type="spellStart"/>
      <w:r w:rsidR="00F66DDD" w:rsidRPr="00D176DE">
        <w:rPr>
          <w:i/>
          <w:lang w:val="nl-NL"/>
        </w:rPr>
        <w:t>queer</w:t>
      </w:r>
      <w:proofErr w:type="spellEnd"/>
      <w:r w:rsidR="00F66DDD">
        <w:rPr>
          <w:lang w:val="nl-NL"/>
        </w:rPr>
        <w:t xml:space="preserve"> theologie op te richten, werd die eis onmiddellijk ingewilligd. </w:t>
      </w:r>
    </w:p>
    <w:p w:rsidR="00F66DDD" w:rsidRDefault="00F66DDD" w:rsidP="00DA0FF4">
      <w:pPr>
        <w:jc w:val="both"/>
        <w:rPr>
          <w:lang w:val="nl-NL"/>
        </w:rPr>
      </w:pPr>
    </w:p>
    <w:p w:rsidR="00F66DDD" w:rsidRDefault="00552F83" w:rsidP="00DA0FF4">
      <w:pPr>
        <w:jc w:val="both"/>
        <w:rPr>
          <w:lang w:val="nl-NL"/>
        </w:rPr>
      </w:pPr>
      <w:r>
        <w:rPr>
          <w:lang w:val="nl-NL"/>
        </w:rPr>
        <w:t xml:space="preserve">Daarmee is uiteraard niet </w:t>
      </w:r>
      <w:r w:rsidR="00F66DDD">
        <w:rPr>
          <w:lang w:val="nl-NL"/>
        </w:rPr>
        <w:t xml:space="preserve">gezegd dat alles koek en ei is als het over religie en seksuele geaardheid gaat in </w:t>
      </w:r>
      <w:r>
        <w:rPr>
          <w:lang w:val="nl-NL"/>
        </w:rPr>
        <w:t>de VS, dat is pertinent niet het geval. E</w:t>
      </w:r>
      <w:r w:rsidR="00F66DDD">
        <w:rPr>
          <w:lang w:val="nl-NL"/>
        </w:rPr>
        <w:t>r zijn kerken die oproepen tot homofobie en cursussen ter “genez</w:t>
      </w:r>
      <w:r>
        <w:rPr>
          <w:lang w:val="nl-NL"/>
        </w:rPr>
        <w:t>ing” van homoseksuelen organiseren</w:t>
      </w:r>
      <w:r w:rsidR="00F66DDD">
        <w:rPr>
          <w:lang w:val="nl-NL"/>
        </w:rPr>
        <w:t xml:space="preserve">, </w:t>
      </w:r>
      <w:r>
        <w:rPr>
          <w:lang w:val="nl-NL"/>
        </w:rPr>
        <w:t xml:space="preserve">en </w:t>
      </w:r>
      <w:r w:rsidR="00F66DDD">
        <w:rPr>
          <w:lang w:val="nl-NL"/>
        </w:rPr>
        <w:t xml:space="preserve">er zijn </w:t>
      </w:r>
      <w:r w:rsidR="00BF4BF7">
        <w:rPr>
          <w:lang w:val="nl-NL"/>
        </w:rPr>
        <w:t xml:space="preserve">christelijke </w:t>
      </w:r>
      <w:r w:rsidR="00F66DDD">
        <w:rPr>
          <w:lang w:val="nl-NL"/>
        </w:rPr>
        <w:t>universiteiten waar</w:t>
      </w:r>
      <w:r w:rsidR="00BF4BF7">
        <w:rPr>
          <w:lang w:val="nl-NL"/>
        </w:rPr>
        <w:t>bij</w:t>
      </w:r>
      <w:r w:rsidR="00F66DDD">
        <w:rPr>
          <w:lang w:val="nl-NL"/>
        </w:rPr>
        <w:t xml:space="preserve"> het </w:t>
      </w:r>
      <w:r w:rsidR="00274643">
        <w:rPr>
          <w:lang w:val="nl-NL"/>
        </w:rPr>
        <w:t>duidelijk is dat zij die zich buiten de contouren van de heteronormativiteit bevinden niet welgekomen zijn</w:t>
      </w:r>
      <w:r w:rsidR="00F66DDD">
        <w:rPr>
          <w:lang w:val="nl-NL"/>
        </w:rPr>
        <w:t>, en</w:t>
      </w:r>
      <w:r>
        <w:rPr>
          <w:lang w:val="nl-NL"/>
        </w:rPr>
        <w:t>zo</w:t>
      </w:r>
      <w:r w:rsidR="00BF4BF7">
        <w:rPr>
          <w:lang w:val="nl-NL"/>
        </w:rPr>
        <w:t>voort</w:t>
      </w:r>
      <w:r>
        <w:rPr>
          <w:lang w:val="nl-NL"/>
        </w:rPr>
        <w:t xml:space="preserve">. Maar het is wel zo dat </w:t>
      </w:r>
      <w:r w:rsidR="00F66DDD">
        <w:rPr>
          <w:lang w:val="nl-NL"/>
        </w:rPr>
        <w:t xml:space="preserve">de breuklijn tussen institutionele en dagdagelijkse heteronormativiteit en homofobie enerzijds, en acceptatie en emancipatie van andere seksuele geaardheid anderzijds, niet op inherente of noodzakelijke wijze samenvalt </w:t>
      </w:r>
      <w:r>
        <w:rPr>
          <w:lang w:val="nl-NL"/>
        </w:rPr>
        <w:t>met de breuklijn religieus vs. niet-religieus of seculier. Die ontkoppeling</w:t>
      </w:r>
      <w:r w:rsidR="00F66DDD">
        <w:rPr>
          <w:lang w:val="nl-NL"/>
        </w:rPr>
        <w:t xml:space="preserve"> is een meer adequaat uitgangspunt om het </w:t>
      </w:r>
      <w:r w:rsidR="00F66DDD">
        <w:rPr>
          <w:lang w:val="nl-NL"/>
        </w:rPr>
        <w:lastRenderedPageBreak/>
        <w:t>over religiositeit en</w:t>
      </w:r>
      <w:r>
        <w:rPr>
          <w:lang w:val="nl-NL"/>
        </w:rPr>
        <w:t xml:space="preserve"> seksuele geaardheid te hebben – religiositeit en seksuele geaardheid zijn immers analytisch gezien twee onderscheiden zaken, en hoewel ze </w:t>
      </w:r>
      <w:r w:rsidR="00126A52">
        <w:rPr>
          <w:lang w:val="nl-NL"/>
        </w:rPr>
        <w:t xml:space="preserve">in een gegeven maatschappelijke context op </w:t>
      </w:r>
      <w:r>
        <w:rPr>
          <w:lang w:val="nl-NL"/>
        </w:rPr>
        <w:t>vele manie</w:t>
      </w:r>
      <w:r w:rsidR="00126A52">
        <w:rPr>
          <w:lang w:val="nl-NL"/>
        </w:rPr>
        <w:t xml:space="preserve">ren met elkaar verbonden (kunnen) zijn, zijn die concrete en belichaamde banden precies gekenmerkt door een maatschappelijke context. Dat wil zeggen, de banden zijn niet inherent, en ze kunnen significant verschillen van de ene maatschappelijke context tot de andere. Onze taak, als onderzoeksters maar ook als activisten en beleidsmakers, is precies die context mee in overweging te nemen, als we effectief tot inzicht willen komen en tot maatschappelijke daadkrachtige interventies. Ik hoop dat </w:t>
      </w:r>
      <w:r w:rsidR="00F66DDD">
        <w:rPr>
          <w:lang w:val="nl-NL"/>
        </w:rPr>
        <w:t xml:space="preserve">dit seminarie kan bijdragen om de discussie ook bij ons op </w:t>
      </w:r>
      <w:r w:rsidR="00126A52">
        <w:rPr>
          <w:lang w:val="nl-NL"/>
        </w:rPr>
        <w:t xml:space="preserve">deze manier te </w:t>
      </w:r>
      <w:proofErr w:type="spellStart"/>
      <w:r w:rsidR="00126A52">
        <w:rPr>
          <w:lang w:val="nl-NL"/>
        </w:rPr>
        <w:t>herkaderen</w:t>
      </w:r>
      <w:proofErr w:type="spellEnd"/>
      <w:r w:rsidR="00126A52">
        <w:rPr>
          <w:lang w:val="nl-NL"/>
        </w:rPr>
        <w:t>.</w:t>
      </w:r>
    </w:p>
    <w:p w:rsidR="00F66DDD" w:rsidRDefault="00F66DDD" w:rsidP="00DA0FF4">
      <w:pPr>
        <w:jc w:val="both"/>
        <w:rPr>
          <w:lang w:val="nl-NL"/>
        </w:rPr>
      </w:pPr>
    </w:p>
    <w:p w:rsidR="00F66DDD" w:rsidRPr="009D0D39" w:rsidRDefault="00F66DDD" w:rsidP="00DA0FF4">
      <w:pPr>
        <w:jc w:val="both"/>
        <w:rPr>
          <w:lang w:val="nl-NL"/>
        </w:rPr>
      </w:pPr>
      <w:r>
        <w:rPr>
          <w:lang w:val="nl-NL"/>
        </w:rPr>
        <w:t xml:space="preserve">Met </w:t>
      </w:r>
      <w:r w:rsidR="00552F83">
        <w:rPr>
          <w:lang w:val="nl-NL"/>
        </w:rPr>
        <w:t xml:space="preserve">dit doel voor ogen, wil ik </w:t>
      </w:r>
      <w:r>
        <w:rPr>
          <w:lang w:val="nl-NL"/>
        </w:rPr>
        <w:t xml:space="preserve">het uitgangspunt dat een </w:t>
      </w:r>
      <w:proofErr w:type="spellStart"/>
      <w:r w:rsidRPr="00D176DE">
        <w:rPr>
          <w:i/>
          <w:lang w:val="nl-NL"/>
        </w:rPr>
        <w:t>queer</w:t>
      </w:r>
      <w:proofErr w:type="spellEnd"/>
      <w:r>
        <w:rPr>
          <w:lang w:val="nl-NL"/>
        </w:rPr>
        <w:t xml:space="preserve"> seksuele oriëntatie en religiositeit tegenstrijdigheden zijn</w:t>
      </w:r>
      <w:r w:rsidR="00126A52">
        <w:rPr>
          <w:lang w:val="nl-NL"/>
        </w:rPr>
        <w:t xml:space="preserve"> onder de loep nemen</w:t>
      </w:r>
      <w:r>
        <w:rPr>
          <w:lang w:val="nl-NL"/>
        </w:rPr>
        <w:t xml:space="preserve">, en </w:t>
      </w:r>
      <w:r w:rsidR="00126A52">
        <w:rPr>
          <w:lang w:val="nl-NL"/>
        </w:rPr>
        <w:t xml:space="preserve">verder </w:t>
      </w:r>
      <w:r>
        <w:rPr>
          <w:lang w:val="nl-NL"/>
        </w:rPr>
        <w:t xml:space="preserve">ingaan op de veronderstellingen van dit uitgangspunt. Deze </w:t>
      </w:r>
      <w:r w:rsidR="00126A52">
        <w:rPr>
          <w:lang w:val="nl-NL"/>
        </w:rPr>
        <w:t xml:space="preserve">veronderstellingen </w:t>
      </w:r>
      <w:r>
        <w:rPr>
          <w:lang w:val="nl-NL"/>
        </w:rPr>
        <w:t xml:space="preserve">kunnen als volgt analytisch onderscheiden worden: </w:t>
      </w:r>
      <w:r w:rsidRPr="009D0D39">
        <w:rPr>
          <w:lang w:val="nl-NL"/>
        </w:rPr>
        <w:t xml:space="preserve">Ten eerste, de meeste of zelfs alle religieuze tradities zijn “schadelijk” voor mensen met een seksuele geaardheid die afwijkt van de maatschappelijke heteronorm. </w:t>
      </w:r>
      <w:r>
        <w:rPr>
          <w:lang w:val="nl-NL"/>
        </w:rPr>
        <w:t xml:space="preserve">Ten tweede, </w:t>
      </w:r>
      <w:r w:rsidRPr="009D0D39">
        <w:rPr>
          <w:lang w:val="nl-NL"/>
        </w:rPr>
        <w:t xml:space="preserve">zij die zich buiten de </w:t>
      </w:r>
      <w:proofErr w:type="spellStart"/>
      <w:r w:rsidRPr="009D0D39">
        <w:rPr>
          <w:lang w:val="nl-NL"/>
        </w:rPr>
        <w:t>heteronormative</w:t>
      </w:r>
      <w:proofErr w:type="spellEnd"/>
      <w:r w:rsidRPr="009D0D39">
        <w:rPr>
          <w:lang w:val="nl-NL"/>
        </w:rPr>
        <w:t xml:space="preserve"> krijtlijnen van seksualiteit en gender bevinden</w:t>
      </w:r>
      <w:r>
        <w:rPr>
          <w:lang w:val="nl-NL"/>
        </w:rPr>
        <w:t xml:space="preserve"> kunnen</w:t>
      </w:r>
      <w:r w:rsidRPr="009D0D39">
        <w:rPr>
          <w:lang w:val="nl-NL"/>
        </w:rPr>
        <w:t xml:space="preserve"> hun </w:t>
      </w:r>
      <w:r>
        <w:rPr>
          <w:lang w:val="nl-NL"/>
        </w:rPr>
        <w:t xml:space="preserve">emancipatie of bevrijding slechts </w:t>
      </w:r>
      <w:r w:rsidRPr="009D0D39">
        <w:rPr>
          <w:lang w:val="nl-NL"/>
        </w:rPr>
        <w:t xml:space="preserve">waarmaken als ze afstand nemen van hun eventuele religieuze </w:t>
      </w:r>
      <w:r>
        <w:rPr>
          <w:lang w:val="nl-NL"/>
        </w:rPr>
        <w:t xml:space="preserve">achtergrond of </w:t>
      </w:r>
      <w:r w:rsidRPr="009D0D39">
        <w:rPr>
          <w:lang w:val="nl-NL"/>
        </w:rPr>
        <w:t>affiliatie.</w:t>
      </w:r>
      <w:r w:rsidRPr="00401068">
        <w:rPr>
          <w:lang w:val="nl-NL"/>
        </w:rPr>
        <w:t xml:space="preserve"> </w:t>
      </w:r>
      <w:r>
        <w:rPr>
          <w:lang w:val="nl-NL"/>
        </w:rPr>
        <w:t xml:space="preserve">Ten derde, </w:t>
      </w:r>
      <w:r w:rsidRPr="009D0D39">
        <w:rPr>
          <w:lang w:val="nl-NL"/>
        </w:rPr>
        <w:t xml:space="preserve">en in samenhang met de vorige veronderstelling, de emancipatie of bevrijding van zij die </w:t>
      </w:r>
      <w:r>
        <w:rPr>
          <w:lang w:val="nl-NL"/>
        </w:rPr>
        <w:t xml:space="preserve">niet binnen de </w:t>
      </w:r>
      <w:r w:rsidRPr="009D0D39">
        <w:rPr>
          <w:lang w:val="nl-NL"/>
        </w:rPr>
        <w:t>maatschappelijke h</w:t>
      </w:r>
      <w:r>
        <w:rPr>
          <w:lang w:val="nl-NL"/>
        </w:rPr>
        <w:t>eteronorm passen,</w:t>
      </w:r>
      <w:r w:rsidRPr="009D0D39">
        <w:rPr>
          <w:lang w:val="nl-NL"/>
        </w:rPr>
        <w:t xml:space="preserve"> </w:t>
      </w:r>
      <w:r>
        <w:rPr>
          <w:lang w:val="nl-NL"/>
        </w:rPr>
        <w:t xml:space="preserve">speelt zich </w:t>
      </w:r>
      <w:r w:rsidRPr="009D0D39">
        <w:rPr>
          <w:lang w:val="nl-NL"/>
        </w:rPr>
        <w:t xml:space="preserve">noodzakelijkerwijs </w:t>
      </w:r>
      <w:r>
        <w:rPr>
          <w:lang w:val="nl-NL"/>
        </w:rPr>
        <w:t xml:space="preserve">in een seculiere context af. </w:t>
      </w:r>
    </w:p>
    <w:p w:rsidR="00F66DDD" w:rsidRDefault="00F66DDD" w:rsidP="00DA0FF4">
      <w:pPr>
        <w:jc w:val="both"/>
        <w:rPr>
          <w:lang w:val="nl-NL"/>
        </w:rPr>
      </w:pPr>
    </w:p>
    <w:p w:rsidR="00F66DDD" w:rsidRDefault="00126A52" w:rsidP="00DA0FF4">
      <w:pPr>
        <w:jc w:val="both"/>
        <w:rPr>
          <w:lang w:val="nl-NL"/>
        </w:rPr>
      </w:pPr>
      <w:r>
        <w:rPr>
          <w:lang w:val="nl-NL"/>
        </w:rPr>
        <w:t>Deze veronderstellingen blijken</w:t>
      </w:r>
      <w:r w:rsidR="00F66DDD">
        <w:rPr>
          <w:lang w:val="nl-NL"/>
        </w:rPr>
        <w:t xml:space="preserve"> echter op vele vlakken </w:t>
      </w:r>
      <w:r>
        <w:rPr>
          <w:lang w:val="nl-NL"/>
        </w:rPr>
        <w:t xml:space="preserve">de toets van een kritische blik niet te doorstaan. </w:t>
      </w:r>
      <w:r w:rsidR="00F66DDD">
        <w:rPr>
          <w:lang w:val="nl-NL"/>
        </w:rPr>
        <w:t>Religieuze tradities hebben doorgaans iets</w:t>
      </w:r>
      <w:r>
        <w:rPr>
          <w:lang w:val="nl-NL"/>
        </w:rPr>
        <w:t>, of zelfs veel,</w:t>
      </w:r>
      <w:r w:rsidR="00F66DDD">
        <w:rPr>
          <w:lang w:val="nl-NL"/>
        </w:rPr>
        <w:t xml:space="preserve"> te zeggen over seksualiteit en moreel gepast tegenover moreel verwerpelijk gedrag op het vlak van seksualiteit (veel breder dan homoseksualiteit). En doorgaans staat die “morele code” niet erg positief tegenover homoseksualiteit. Maar daar houdt het verhaal niet op; religieuze tradities zijn immers </w:t>
      </w:r>
      <w:proofErr w:type="spellStart"/>
      <w:r w:rsidR="00F66DDD">
        <w:rPr>
          <w:lang w:val="nl-NL"/>
        </w:rPr>
        <w:t>meerlagig</w:t>
      </w:r>
      <w:proofErr w:type="spellEnd"/>
      <w:r w:rsidR="00F66DDD">
        <w:rPr>
          <w:lang w:val="nl-NL"/>
        </w:rPr>
        <w:t>, dynamisch en niet op een simpele wijze te herleiden tot de geschriften. Anders gezegd: tradities en teksten worden beleefd, geïnterpreteerd, en gecreëerd door mensen die heel verschillende ervaringen, bl</w:t>
      </w:r>
      <w:r>
        <w:rPr>
          <w:lang w:val="nl-NL"/>
        </w:rPr>
        <w:t>ikken en interpretatiekaders</w:t>
      </w:r>
      <w:r w:rsidR="00F66DDD">
        <w:rPr>
          <w:lang w:val="nl-NL"/>
        </w:rPr>
        <w:t xml:space="preserve"> binnen een religieuze traditie brengen. Die lezingen die vasthouden dat er slechts een interpretatie mogelijk is, of sterker nog, die de bemiddeling van interpretatie uitschakelen, noemen we doorgaans (hoezeer de term ook problematisch is) fundamentalistisch. Mijn punt hier is: dergelijke “fundamentalistische” benadering</w:t>
      </w:r>
      <w:r w:rsidR="00057866">
        <w:rPr>
          <w:lang w:val="nl-NL"/>
        </w:rPr>
        <w:t>en</w:t>
      </w:r>
      <w:r w:rsidR="00F66DDD">
        <w:rPr>
          <w:lang w:val="nl-NL"/>
        </w:rPr>
        <w:t xml:space="preserve"> van religie vinden we niet enkele binnen religieuze tradities terug, maar evenzeer in seculiere benaderingen van religie die insisteren </w:t>
      </w:r>
      <w:r w:rsidR="00BF4BF7">
        <w:rPr>
          <w:lang w:val="nl-NL"/>
        </w:rPr>
        <w:t xml:space="preserve">dat </w:t>
      </w:r>
      <w:r w:rsidR="00F66DDD">
        <w:rPr>
          <w:lang w:val="nl-NL"/>
        </w:rPr>
        <w:t xml:space="preserve">de betekenis van een bepaald vers </w:t>
      </w:r>
      <w:r w:rsidR="00057866">
        <w:rPr>
          <w:lang w:val="nl-NL"/>
        </w:rPr>
        <w:t xml:space="preserve">(dat refereert naar seksualiteit bijvoorbeeld) </w:t>
      </w:r>
      <w:r w:rsidR="00F66DDD">
        <w:rPr>
          <w:lang w:val="nl-NL"/>
        </w:rPr>
        <w:t>reeds gekend is want het staat zo “letterlijk geschreven”.</w:t>
      </w:r>
    </w:p>
    <w:p w:rsidR="00F66DDD" w:rsidRDefault="00F66DDD" w:rsidP="00DA0FF4">
      <w:pPr>
        <w:jc w:val="both"/>
        <w:rPr>
          <w:lang w:val="nl-NL"/>
        </w:rPr>
      </w:pPr>
    </w:p>
    <w:p w:rsidR="00F66DDD" w:rsidRDefault="00F66DDD" w:rsidP="00DA0FF4">
      <w:pPr>
        <w:jc w:val="both"/>
        <w:rPr>
          <w:lang w:val="nl-NL"/>
        </w:rPr>
      </w:pPr>
      <w:r>
        <w:rPr>
          <w:lang w:val="nl-NL"/>
        </w:rPr>
        <w:t xml:space="preserve">Elke religieuze traditie is gekenmerkt door een niet aflatende strijd over interpretatie zowel als emancipatie, een strijd die eveneens gevoerd wordt door gelovigen die zich buiten de maatschappelijke heteronorm geplaatst weten. </w:t>
      </w:r>
      <w:r w:rsidR="00057866">
        <w:rPr>
          <w:lang w:val="nl-NL"/>
        </w:rPr>
        <w:t xml:space="preserve">Er ontstaat een ernstig probleem </w:t>
      </w:r>
      <w:r>
        <w:rPr>
          <w:lang w:val="nl-NL"/>
        </w:rPr>
        <w:t xml:space="preserve">wanneer men het bestaan van die strijd ontkent, of die strijd onzichtbaar </w:t>
      </w:r>
      <w:r w:rsidR="00057866">
        <w:rPr>
          <w:lang w:val="nl-NL"/>
        </w:rPr>
        <w:t>maakt (en dat houdt in: zichtbaar maken</w:t>
      </w:r>
      <w:r>
        <w:rPr>
          <w:lang w:val="nl-NL"/>
        </w:rPr>
        <w:t xml:space="preserve"> op een manier die die gelovigen zelf niet zien zitten!), en dus impliciet of e</w:t>
      </w:r>
      <w:r w:rsidR="00057866">
        <w:rPr>
          <w:lang w:val="nl-NL"/>
        </w:rPr>
        <w:t>xpliciet verwacht dat gelovigen</w:t>
      </w:r>
      <w:r>
        <w:rPr>
          <w:lang w:val="nl-NL"/>
        </w:rPr>
        <w:t xml:space="preserve"> hun religieuze traditie </w:t>
      </w:r>
      <w:r w:rsidR="00274643">
        <w:rPr>
          <w:lang w:val="nl-NL"/>
        </w:rPr>
        <w:t xml:space="preserve">moeten verlaten om als </w:t>
      </w:r>
      <w:proofErr w:type="spellStart"/>
      <w:r w:rsidR="00274643" w:rsidRPr="00D176DE">
        <w:rPr>
          <w:i/>
          <w:lang w:val="nl-NL"/>
        </w:rPr>
        <w:t>queer</w:t>
      </w:r>
      <w:proofErr w:type="spellEnd"/>
      <w:r w:rsidR="00274643">
        <w:rPr>
          <w:lang w:val="nl-NL"/>
        </w:rPr>
        <w:t xml:space="preserve"> subject </w:t>
      </w:r>
      <w:r w:rsidR="00057866">
        <w:rPr>
          <w:lang w:val="nl-NL"/>
        </w:rPr>
        <w:t>(h)</w:t>
      </w:r>
      <w:r>
        <w:rPr>
          <w:lang w:val="nl-NL"/>
        </w:rPr>
        <w:t xml:space="preserve">erkend en ondersteund te worden. </w:t>
      </w:r>
      <w:r w:rsidR="00057866">
        <w:rPr>
          <w:lang w:val="nl-NL"/>
        </w:rPr>
        <w:t xml:space="preserve">Deel van het probleem </w:t>
      </w:r>
      <w:r>
        <w:rPr>
          <w:lang w:val="nl-NL"/>
        </w:rPr>
        <w:t>ligt bij de “</w:t>
      </w:r>
      <w:proofErr w:type="spellStart"/>
      <w:r>
        <w:rPr>
          <w:i/>
          <w:lang w:val="nl-NL"/>
        </w:rPr>
        <w:t>y</w:t>
      </w:r>
      <w:r w:rsidRPr="006B5C87">
        <w:rPr>
          <w:i/>
          <w:lang w:val="nl-NL"/>
        </w:rPr>
        <w:t>ou’re</w:t>
      </w:r>
      <w:proofErr w:type="spellEnd"/>
      <w:r w:rsidRPr="006B5C87">
        <w:rPr>
          <w:i/>
          <w:lang w:val="nl-NL"/>
        </w:rPr>
        <w:t xml:space="preserve"> </w:t>
      </w:r>
      <w:proofErr w:type="spellStart"/>
      <w:r w:rsidRPr="006B5C87">
        <w:rPr>
          <w:i/>
          <w:lang w:val="nl-NL"/>
        </w:rPr>
        <w:t>either</w:t>
      </w:r>
      <w:proofErr w:type="spellEnd"/>
      <w:r w:rsidRPr="006B5C87">
        <w:rPr>
          <w:i/>
          <w:lang w:val="nl-NL"/>
        </w:rPr>
        <w:t xml:space="preserve"> </w:t>
      </w:r>
      <w:proofErr w:type="spellStart"/>
      <w:r w:rsidRPr="006B5C87">
        <w:rPr>
          <w:i/>
          <w:lang w:val="nl-NL"/>
        </w:rPr>
        <w:t>with</w:t>
      </w:r>
      <w:proofErr w:type="spellEnd"/>
      <w:r w:rsidRPr="006B5C87">
        <w:rPr>
          <w:i/>
          <w:lang w:val="nl-NL"/>
        </w:rPr>
        <w:t xml:space="preserve"> </w:t>
      </w:r>
      <w:proofErr w:type="spellStart"/>
      <w:r w:rsidRPr="006B5C87">
        <w:rPr>
          <w:i/>
          <w:lang w:val="nl-NL"/>
        </w:rPr>
        <w:t>us</w:t>
      </w:r>
      <w:proofErr w:type="spellEnd"/>
      <w:r w:rsidRPr="006B5C87">
        <w:rPr>
          <w:i/>
          <w:lang w:val="nl-NL"/>
        </w:rPr>
        <w:t xml:space="preserve">, or </w:t>
      </w:r>
      <w:proofErr w:type="spellStart"/>
      <w:r w:rsidRPr="006B5C87">
        <w:rPr>
          <w:i/>
          <w:lang w:val="nl-NL"/>
        </w:rPr>
        <w:t>against</w:t>
      </w:r>
      <w:proofErr w:type="spellEnd"/>
      <w:r w:rsidRPr="006B5C87">
        <w:rPr>
          <w:i/>
          <w:lang w:val="nl-NL"/>
        </w:rPr>
        <w:t xml:space="preserve"> </w:t>
      </w:r>
      <w:proofErr w:type="spellStart"/>
      <w:r w:rsidRPr="006B5C87">
        <w:rPr>
          <w:i/>
          <w:lang w:val="nl-NL"/>
        </w:rPr>
        <w:t>us</w:t>
      </w:r>
      <w:proofErr w:type="spellEnd"/>
      <w:r>
        <w:rPr>
          <w:i/>
          <w:lang w:val="nl-NL"/>
        </w:rPr>
        <w:t>”</w:t>
      </w:r>
      <w:r>
        <w:rPr>
          <w:lang w:val="nl-NL"/>
        </w:rPr>
        <w:t xml:space="preserve"> boodschap – of die boodschap nu komt vanuit een religieus perspectief, of vanuit een seculier perspectief gefocust op </w:t>
      </w:r>
      <w:proofErr w:type="spellStart"/>
      <w:r>
        <w:rPr>
          <w:lang w:val="nl-NL"/>
        </w:rPr>
        <w:lastRenderedPageBreak/>
        <w:t>holebi</w:t>
      </w:r>
      <w:proofErr w:type="spellEnd"/>
      <w:r>
        <w:rPr>
          <w:lang w:val="nl-NL"/>
        </w:rPr>
        <w:t xml:space="preserve">-emancipatie. Politieke en intellectuele praktijken van solidariteit hebben een radicaal ander uitgangspunt: stellen dat iemand iets moet achterlaten wat dierbaar is voor een persoon, en nauw verweven is met hoe die persoon haarzelf in de wereld begrijpt, staat haaks op alle beginselen van bevrijdingspedagogiek waarbij men begint daar waar mensen zich gesitueerd weten. </w:t>
      </w:r>
    </w:p>
    <w:p w:rsidR="00F66DDD" w:rsidRDefault="00F66DDD" w:rsidP="00DA0FF4">
      <w:pPr>
        <w:jc w:val="both"/>
        <w:rPr>
          <w:lang w:val="nl-NL"/>
        </w:rPr>
      </w:pPr>
    </w:p>
    <w:p w:rsidR="009F6FBE" w:rsidRDefault="00F66DDD" w:rsidP="00DA0FF4">
      <w:pPr>
        <w:jc w:val="both"/>
        <w:rPr>
          <w:lang w:val="nl-NL"/>
        </w:rPr>
      </w:pPr>
      <w:r>
        <w:rPr>
          <w:lang w:val="nl-NL"/>
        </w:rPr>
        <w:t xml:space="preserve">Dit is een oud verhaal dat reeds op vele manier herteld werd: het is een variatie op het verhaal van vrouwen, van mensen die </w:t>
      </w:r>
      <w:proofErr w:type="spellStart"/>
      <w:r>
        <w:rPr>
          <w:lang w:val="nl-NL"/>
        </w:rPr>
        <w:t>geracialiseerd</w:t>
      </w:r>
      <w:proofErr w:type="spellEnd"/>
      <w:r>
        <w:rPr>
          <w:lang w:val="nl-NL"/>
        </w:rPr>
        <w:t xml:space="preserve"> worden als zwart, of bruin, of “allochtoon” in onze contreien, die gevraagd worden om stil te blijven over hun feministische en burgerrechteneisen binnen bredere sociale beweg</w:t>
      </w:r>
      <w:r w:rsidR="00057866">
        <w:rPr>
          <w:lang w:val="nl-NL"/>
        </w:rPr>
        <w:t>ingen (“tot na de revolutie”). Het is het verhaal van mensen die gevraagd worden om een deel van hun levens, hun strijd, stilletjes op zij</w:t>
      </w:r>
      <w:r>
        <w:rPr>
          <w:lang w:val="nl-NL"/>
        </w:rPr>
        <w:t xml:space="preserve"> te zetten</w:t>
      </w:r>
      <w:r w:rsidR="00057866">
        <w:rPr>
          <w:lang w:val="nl-NL"/>
        </w:rPr>
        <w:t xml:space="preserve">, die gevraagd worden om een deel van wie ze zijn en waar ze zich mee verbonden voelen aan de drempel achter te laten als ze de kerk of de vergadering van </w:t>
      </w:r>
      <w:r w:rsidR="009F6FBE">
        <w:rPr>
          <w:lang w:val="nl-NL"/>
        </w:rPr>
        <w:t>een sociale bevrijdingsbeweging binnenstappen</w:t>
      </w:r>
      <w:r>
        <w:rPr>
          <w:lang w:val="nl-NL"/>
        </w:rPr>
        <w:t xml:space="preserve">. </w:t>
      </w:r>
      <w:r w:rsidR="009F6FBE">
        <w:rPr>
          <w:lang w:val="nl-NL"/>
        </w:rPr>
        <w:t xml:space="preserve">Wat hier op het spel staat, </w:t>
      </w:r>
      <w:r>
        <w:rPr>
          <w:lang w:val="nl-NL"/>
        </w:rPr>
        <w:t xml:space="preserve">werd erg krachtig samengevat </w:t>
      </w:r>
      <w:r w:rsidR="009F6FBE">
        <w:rPr>
          <w:lang w:val="nl-NL"/>
        </w:rPr>
        <w:t xml:space="preserve">in </w:t>
      </w:r>
      <w:r>
        <w:rPr>
          <w:lang w:val="nl-NL"/>
        </w:rPr>
        <w:t>een slogan waar zwarte lesbiennes in de jaren 1970 i</w:t>
      </w:r>
      <w:r w:rsidR="00057866">
        <w:rPr>
          <w:lang w:val="nl-NL"/>
        </w:rPr>
        <w:t xml:space="preserve">n de VS zich achter schaarden: </w:t>
      </w:r>
      <w:r w:rsidRPr="00057866">
        <w:rPr>
          <w:i/>
          <w:lang w:val="nl-NL"/>
        </w:rPr>
        <w:t>We</w:t>
      </w:r>
      <w:r w:rsidR="00057866" w:rsidRPr="00057866">
        <w:rPr>
          <w:i/>
          <w:lang w:val="nl-NL"/>
        </w:rPr>
        <w:t xml:space="preserve"> </w:t>
      </w:r>
      <w:proofErr w:type="spellStart"/>
      <w:r w:rsidR="00057866" w:rsidRPr="00057866">
        <w:rPr>
          <w:i/>
          <w:lang w:val="nl-NL"/>
        </w:rPr>
        <w:t>cannot</w:t>
      </w:r>
      <w:proofErr w:type="spellEnd"/>
      <w:r w:rsidR="00057866" w:rsidRPr="00057866">
        <w:rPr>
          <w:i/>
          <w:lang w:val="nl-NL"/>
        </w:rPr>
        <w:t xml:space="preserve"> live without </w:t>
      </w:r>
      <w:proofErr w:type="spellStart"/>
      <w:r w:rsidR="00057866" w:rsidRPr="00057866">
        <w:rPr>
          <w:i/>
          <w:lang w:val="nl-NL"/>
        </w:rPr>
        <w:t>our</w:t>
      </w:r>
      <w:proofErr w:type="spellEnd"/>
      <w:r w:rsidR="00057866" w:rsidRPr="00057866">
        <w:rPr>
          <w:i/>
          <w:lang w:val="nl-NL"/>
        </w:rPr>
        <w:t xml:space="preserve"> </w:t>
      </w:r>
      <w:proofErr w:type="spellStart"/>
      <w:r w:rsidR="00057866" w:rsidRPr="00057866">
        <w:rPr>
          <w:i/>
          <w:lang w:val="nl-NL"/>
        </w:rPr>
        <w:t>lives</w:t>
      </w:r>
      <w:proofErr w:type="spellEnd"/>
      <w:r w:rsidR="00057866">
        <w:rPr>
          <w:lang w:val="nl-NL"/>
        </w:rPr>
        <w:t>.</w:t>
      </w:r>
      <w:r>
        <w:rPr>
          <w:lang w:val="nl-NL"/>
        </w:rPr>
        <w:t xml:space="preserve"> Of om het in een religieus register uit te drukken, met een beeld uit de christelijke bevrijdingsleer: </w:t>
      </w:r>
      <w:r w:rsidR="009F6FBE">
        <w:rPr>
          <w:lang w:val="nl-NL"/>
        </w:rPr>
        <w:t xml:space="preserve">hoe zorgen we ervoor dat de tafel </w:t>
      </w:r>
      <w:r>
        <w:rPr>
          <w:lang w:val="nl-NL"/>
        </w:rPr>
        <w:t xml:space="preserve">een open tafel </w:t>
      </w:r>
      <w:r w:rsidR="009F6FBE">
        <w:rPr>
          <w:lang w:val="nl-NL"/>
        </w:rPr>
        <w:t xml:space="preserve">is, </w:t>
      </w:r>
      <w:r>
        <w:rPr>
          <w:lang w:val="nl-NL"/>
        </w:rPr>
        <w:t>waarbij iedereen welgekomen is, en niemand bij voorbaat gevraagd wordt om een deel van zichzelf af te schudden. Een open tafel is geen eindpunt, geen “goh, hier zitten we nu gezellig met al onze diversiteit.” Nee, een open tafel is een beginpunt, en vaak een begin van moeilijke gesprekken, van conflicten, van vallen en opstaan, maar hopelijk ook een beginpunt van engagement en solidariteit. Vele kerken, en ook moskee</w:t>
      </w:r>
      <w:r w:rsidR="009F6FBE" w:rsidRPr="00F77B86">
        <w:rPr>
          <w:rStyle w:val="Accentuation"/>
          <w:i w:val="0"/>
          <w:lang w:val="nl-BE"/>
        </w:rPr>
        <w:t>ë</w:t>
      </w:r>
      <w:r>
        <w:rPr>
          <w:lang w:val="nl-NL"/>
        </w:rPr>
        <w:t xml:space="preserve">n en synagogen, zijn geen open tafels – daar moet </w:t>
      </w:r>
      <w:r w:rsidR="009F6FBE">
        <w:rPr>
          <w:lang w:val="nl-NL"/>
        </w:rPr>
        <w:t xml:space="preserve">echt </w:t>
      </w:r>
      <w:r>
        <w:rPr>
          <w:lang w:val="nl-NL"/>
        </w:rPr>
        <w:t xml:space="preserve">niemand gelovigen die zich buiten de heteronorm bevinden van overtuigen! Maar de vraag is ook: hoe open zijn de tafels van onze </w:t>
      </w:r>
      <w:proofErr w:type="spellStart"/>
      <w:r>
        <w:rPr>
          <w:lang w:val="nl-NL"/>
        </w:rPr>
        <w:t>holebibewegingen</w:t>
      </w:r>
      <w:proofErr w:type="spellEnd"/>
      <w:r>
        <w:rPr>
          <w:lang w:val="nl-NL"/>
        </w:rPr>
        <w:t xml:space="preserve">, of van het beleid rond </w:t>
      </w:r>
      <w:proofErr w:type="spellStart"/>
      <w:r>
        <w:rPr>
          <w:lang w:val="nl-NL"/>
        </w:rPr>
        <w:t>holebi</w:t>
      </w:r>
      <w:r w:rsidR="00274643">
        <w:rPr>
          <w:lang w:val="nl-NL"/>
        </w:rPr>
        <w:t>’</w:t>
      </w:r>
      <w:r>
        <w:rPr>
          <w:lang w:val="nl-NL"/>
        </w:rPr>
        <w:t>s</w:t>
      </w:r>
      <w:proofErr w:type="spellEnd"/>
      <w:r w:rsidR="00274643">
        <w:rPr>
          <w:lang w:val="nl-NL"/>
        </w:rPr>
        <w:t xml:space="preserve"> en transgenders</w:t>
      </w:r>
      <w:r>
        <w:rPr>
          <w:lang w:val="nl-NL"/>
        </w:rPr>
        <w:t xml:space="preserve">? </w:t>
      </w:r>
    </w:p>
    <w:p w:rsidR="009F6FBE" w:rsidRDefault="009F6FBE" w:rsidP="00DA0FF4">
      <w:pPr>
        <w:jc w:val="both"/>
        <w:rPr>
          <w:lang w:val="nl-NL"/>
        </w:rPr>
      </w:pPr>
    </w:p>
    <w:p w:rsidR="00F66DDD" w:rsidRDefault="00F66DDD" w:rsidP="00DA0FF4">
      <w:pPr>
        <w:jc w:val="both"/>
        <w:rPr>
          <w:lang w:val="nl-NL"/>
        </w:rPr>
      </w:pPr>
      <w:r>
        <w:rPr>
          <w:lang w:val="nl-NL"/>
        </w:rPr>
        <w:t>Dit</w:t>
      </w:r>
      <w:r w:rsidR="009F6FBE">
        <w:rPr>
          <w:lang w:val="nl-NL"/>
        </w:rPr>
        <w:t xml:space="preserve"> doet mij denken aan een </w:t>
      </w:r>
      <w:r w:rsidR="00BF4BF7">
        <w:rPr>
          <w:lang w:val="nl-NL"/>
        </w:rPr>
        <w:t xml:space="preserve">anekdote </w:t>
      </w:r>
      <w:r>
        <w:rPr>
          <w:lang w:val="nl-NL"/>
        </w:rPr>
        <w:t>van mijn collega Mark Jordan, over de</w:t>
      </w:r>
      <w:r w:rsidR="009F6FBE">
        <w:rPr>
          <w:lang w:val="nl-NL"/>
        </w:rPr>
        <w:t xml:space="preserve"> interviews die hij deed met homoseksuelen</w:t>
      </w:r>
      <w:r>
        <w:rPr>
          <w:lang w:val="nl-NL"/>
        </w:rPr>
        <w:t xml:space="preserve"> in San Francisco (deels overlappend met de etnografie van </w:t>
      </w:r>
      <w:r w:rsidR="009F6FBE">
        <w:rPr>
          <w:lang w:val="nl-NL"/>
        </w:rPr>
        <w:t xml:space="preserve">een van de pioniers van de hedendaagse gendertheorie, </w:t>
      </w:r>
      <w:proofErr w:type="spellStart"/>
      <w:r>
        <w:rPr>
          <w:lang w:val="nl-NL"/>
        </w:rPr>
        <w:t>Gayle</w:t>
      </w:r>
      <w:proofErr w:type="spellEnd"/>
      <w:r>
        <w:rPr>
          <w:lang w:val="nl-NL"/>
        </w:rPr>
        <w:t xml:space="preserve"> </w:t>
      </w:r>
      <w:proofErr w:type="spellStart"/>
      <w:r>
        <w:rPr>
          <w:lang w:val="nl-NL"/>
        </w:rPr>
        <w:t>Rubin</w:t>
      </w:r>
      <w:proofErr w:type="spellEnd"/>
      <w:r w:rsidR="009F6FBE">
        <w:rPr>
          <w:lang w:val="nl-NL"/>
        </w:rPr>
        <w:t>,</w:t>
      </w:r>
      <w:r>
        <w:rPr>
          <w:lang w:val="nl-NL"/>
        </w:rPr>
        <w:t xml:space="preserve"> in de </w:t>
      </w:r>
      <w:proofErr w:type="spellStart"/>
      <w:r>
        <w:rPr>
          <w:lang w:val="nl-NL"/>
        </w:rPr>
        <w:t>leather</w:t>
      </w:r>
      <w:proofErr w:type="spellEnd"/>
      <w:r>
        <w:rPr>
          <w:lang w:val="nl-NL"/>
        </w:rPr>
        <w:t xml:space="preserve"> bars in San Francisco) over religie en homoseksualiteit.</w:t>
      </w:r>
      <w:r w:rsidR="0079249C">
        <w:rPr>
          <w:rStyle w:val="Appelnotedebasdep"/>
          <w:lang w:val="nl-NL"/>
        </w:rPr>
        <w:footnoteReference w:id="2"/>
      </w:r>
      <w:r>
        <w:rPr>
          <w:lang w:val="nl-NL"/>
        </w:rPr>
        <w:t xml:space="preserve"> Hij vond dat in de leefwereld van zijn respondenten het makkelijker was om een “</w:t>
      </w:r>
      <w:proofErr w:type="spellStart"/>
      <w:r>
        <w:rPr>
          <w:lang w:val="nl-NL"/>
        </w:rPr>
        <w:t>coming</w:t>
      </w:r>
      <w:proofErr w:type="spellEnd"/>
      <w:r>
        <w:rPr>
          <w:lang w:val="nl-NL"/>
        </w:rPr>
        <w:t xml:space="preserve"> out” te doen als homo (en in dit geval vaak specifiek als iemand die deel ui</w:t>
      </w:r>
      <w:r w:rsidR="009F6FBE">
        <w:rPr>
          <w:lang w:val="nl-NL"/>
        </w:rPr>
        <w:t>tmaakte van de BDSM scene</w:t>
      </w:r>
      <w:r>
        <w:rPr>
          <w:lang w:val="nl-NL"/>
        </w:rPr>
        <w:t>), in allerhande omgevingen, inclusief de religieuze gemeenschap waar ze banden mee hadden, dan “out” te zijn als gel</w:t>
      </w:r>
      <w:r w:rsidR="00274643">
        <w:rPr>
          <w:lang w:val="nl-NL"/>
        </w:rPr>
        <w:t>ovige in LGBT</w:t>
      </w:r>
      <w:r w:rsidR="00BF4BF7">
        <w:rPr>
          <w:lang w:val="nl-NL"/>
        </w:rPr>
        <w:t>-</w:t>
      </w:r>
      <w:r w:rsidR="009F6FBE">
        <w:rPr>
          <w:lang w:val="nl-NL"/>
        </w:rPr>
        <w:t xml:space="preserve">omgevingen. Deze bevinding </w:t>
      </w:r>
      <w:r>
        <w:rPr>
          <w:lang w:val="nl-NL"/>
        </w:rPr>
        <w:t xml:space="preserve">heeft </w:t>
      </w:r>
      <w:r w:rsidR="009F6FBE">
        <w:rPr>
          <w:lang w:val="nl-NL"/>
        </w:rPr>
        <w:t xml:space="preserve">uiteraard weer </w:t>
      </w:r>
      <w:r>
        <w:rPr>
          <w:lang w:val="nl-NL"/>
        </w:rPr>
        <w:t xml:space="preserve">een specifiek </w:t>
      </w:r>
      <w:r w:rsidR="009F6FBE">
        <w:rPr>
          <w:lang w:val="nl-NL"/>
        </w:rPr>
        <w:t xml:space="preserve">maatschappelijke </w:t>
      </w:r>
      <w:r>
        <w:rPr>
          <w:lang w:val="nl-NL"/>
        </w:rPr>
        <w:t>context: de Bay Area staat gekend als een plek waar de LGBT beweging erin geslaagd is om de dominante cultuur significant te beïnvloeden (wat niet wegneemt dat homofoob geweld een probleem blijft), en het Amer</w:t>
      </w:r>
      <w:r w:rsidR="009F6FBE">
        <w:rPr>
          <w:lang w:val="nl-NL"/>
        </w:rPr>
        <w:t xml:space="preserve">ikaanse religieuze landschap is op vele vlakken anders </w:t>
      </w:r>
      <w:r>
        <w:rPr>
          <w:lang w:val="nl-NL"/>
        </w:rPr>
        <w:t>dan het Europese. Maar dit stemt wel tot nadenken, zowel over de dominante maatschappelijke opvattingen over religie en seksuele geaardheid, alsook o</w:t>
      </w:r>
      <w:r w:rsidR="00274643">
        <w:rPr>
          <w:lang w:val="nl-NL"/>
        </w:rPr>
        <w:t>ver de “cultuur” van onze  LGBT</w:t>
      </w:r>
      <w:r w:rsidR="00BF4BF7">
        <w:rPr>
          <w:lang w:val="nl-NL"/>
        </w:rPr>
        <w:t>-</w:t>
      </w:r>
      <w:r>
        <w:rPr>
          <w:lang w:val="nl-NL"/>
        </w:rPr>
        <w:t>bewegingen, en met name de relatie tot geloof en religie.</w:t>
      </w:r>
    </w:p>
    <w:p w:rsidR="00F66DDD" w:rsidRPr="009D0D39" w:rsidRDefault="00F66DDD" w:rsidP="00DA0FF4">
      <w:pPr>
        <w:jc w:val="both"/>
        <w:rPr>
          <w:lang w:val="nl-NL"/>
        </w:rPr>
      </w:pPr>
    </w:p>
    <w:p w:rsidR="00F66DDD" w:rsidRPr="009D0D39" w:rsidRDefault="00F66DDD" w:rsidP="00DA0FF4">
      <w:pPr>
        <w:jc w:val="both"/>
        <w:rPr>
          <w:lang w:val="nl-NL"/>
        </w:rPr>
      </w:pPr>
      <w:r>
        <w:rPr>
          <w:lang w:val="nl-NL"/>
        </w:rPr>
        <w:t xml:space="preserve">Het is mijn hoop dat we het debat over religie en seksuele geaardheid voorbij het kader van de vermeende tegenstrijdigheid kunnen tillen. Een cruciaal uitgangspunt om dit te </w:t>
      </w:r>
      <w:r>
        <w:rPr>
          <w:lang w:val="nl-NL"/>
        </w:rPr>
        <w:lastRenderedPageBreak/>
        <w:t xml:space="preserve">bewerkstelligen is om </w:t>
      </w:r>
      <w:r w:rsidRPr="009D0D39">
        <w:rPr>
          <w:lang w:val="nl-NL"/>
        </w:rPr>
        <w:t>een religieus niet-</w:t>
      </w:r>
      <w:proofErr w:type="spellStart"/>
      <w:r w:rsidRPr="009D0D39">
        <w:rPr>
          <w:lang w:val="nl-NL"/>
        </w:rPr>
        <w:t>heteronormatief</w:t>
      </w:r>
      <w:proofErr w:type="spellEnd"/>
      <w:r w:rsidRPr="009D0D39">
        <w:rPr>
          <w:lang w:val="nl-NL"/>
        </w:rPr>
        <w:t xml:space="preserve"> standpunt</w:t>
      </w:r>
      <w:r>
        <w:rPr>
          <w:lang w:val="nl-NL"/>
        </w:rPr>
        <w:t xml:space="preserve">, of dus een </w:t>
      </w:r>
      <w:proofErr w:type="spellStart"/>
      <w:r w:rsidRPr="00D176DE">
        <w:rPr>
          <w:i/>
          <w:lang w:val="nl-NL"/>
        </w:rPr>
        <w:t>queer</w:t>
      </w:r>
      <w:proofErr w:type="spellEnd"/>
      <w:r>
        <w:rPr>
          <w:lang w:val="nl-NL"/>
        </w:rPr>
        <w:t xml:space="preserve"> gelovig perspectief, centraal te stellen. </w:t>
      </w:r>
      <w:r w:rsidR="009F6FBE">
        <w:rPr>
          <w:lang w:val="nl-NL"/>
        </w:rPr>
        <w:t>Met andere woorden, laten we z</w:t>
      </w:r>
      <w:r w:rsidR="009F6FBE" w:rsidRPr="009D0D39">
        <w:rPr>
          <w:lang w:val="nl-NL"/>
        </w:rPr>
        <w:t>ij die zich bevinden op het kruispunt van rel</w:t>
      </w:r>
      <w:r w:rsidR="009F6FBE">
        <w:rPr>
          <w:lang w:val="nl-NL"/>
        </w:rPr>
        <w:t>igiositeit en homoseksualiteit centraal stellen in onze discussies over religie en homoseksualiteit;</w:t>
      </w:r>
      <w:r>
        <w:rPr>
          <w:lang w:val="nl-NL"/>
        </w:rPr>
        <w:t xml:space="preserve"> dit zijn </w:t>
      </w:r>
      <w:r w:rsidR="009F6FBE">
        <w:rPr>
          <w:lang w:val="nl-NL"/>
        </w:rPr>
        <w:t xml:space="preserve">immers de </w:t>
      </w:r>
      <w:r w:rsidRPr="009D0D39">
        <w:rPr>
          <w:lang w:val="nl-NL"/>
        </w:rPr>
        <w:t>levens en ervaringe</w:t>
      </w:r>
      <w:r>
        <w:rPr>
          <w:lang w:val="nl-NL"/>
        </w:rPr>
        <w:t xml:space="preserve">n </w:t>
      </w:r>
      <w:r w:rsidRPr="009D0D39">
        <w:rPr>
          <w:lang w:val="nl-NL"/>
        </w:rPr>
        <w:t xml:space="preserve">die doorgaans miskend en gemarginaliseerd worden, zowel binnen de formele structuren van </w:t>
      </w:r>
      <w:r w:rsidR="009F6FBE">
        <w:rPr>
          <w:lang w:val="nl-NL"/>
        </w:rPr>
        <w:t xml:space="preserve">religieuze </w:t>
      </w:r>
      <w:r>
        <w:rPr>
          <w:lang w:val="nl-NL"/>
        </w:rPr>
        <w:t xml:space="preserve">tradities </w:t>
      </w:r>
      <w:r w:rsidR="009F6FBE">
        <w:rPr>
          <w:lang w:val="nl-NL"/>
        </w:rPr>
        <w:t xml:space="preserve">in het algemeen, </w:t>
      </w:r>
      <w:r w:rsidRPr="009D0D39">
        <w:rPr>
          <w:lang w:val="nl-NL"/>
        </w:rPr>
        <w:t>alsook binnen seculiere progressieve bewegingen voor gelijke rechten en</w:t>
      </w:r>
      <w:r w:rsidR="00274643">
        <w:rPr>
          <w:lang w:val="nl-NL"/>
        </w:rPr>
        <w:t xml:space="preserve"> seksuele </w:t>
      </w:r>
      <w:r>
        <w:rPr>
          <w:lang w:val="nl-NL"/>
        </w:rPr>
        <w:t>emancipatie</w:t>
      </w:r>
      <w:r w:rsidR="009F6FBE">
        <w:rPr>
          <w:lang w:val="nl-NL"/>
        </w:rPr>
        <w:t xml:space="preserve"> in onze contreien</w:t>
      </w:r>
      <w:r w:rsidRPr="009D0D39">
        <w:rPr>
          <w:lang w:val="nl-NL"/>
        </w:rPr>
        <w:t xml:space="preserve">. </w:t>
      </w:r>
    </w:p>
    <w:p w:rsidR="00F66DDD" w:rsidRDefault="00F66DDD" w:rsidP="00DA0FF4">
      <w:pPr>
        <w:jc w:val="both"/>
        <w:rPr>
          <w:lang w:val="nl-NL"/>
        </w:rPr>
      </w:pPr>
    </w:p>
    <w:p w:rsidR="00F66DDD" w:rsidRDefault="00A635F1" w:rsidP="00DA0FF4">
      <w:pPr>
        <w:jc w:val="both"/>
        <w:rPr>
          <w:lang w:val="nl-NL"/>
        </w:rPr>
      </w:pPr>
      <w:r>
        <w:rPr>
          <w:lang w:val="nl-NL"/>
        </w:rPr>
        <w:t xml:space="preserve">In de tijd die mij nog rest wil ik </w:t>
      </w:r>
      <w:r w:rsidR="009F6FBE">
        <w:rPr>
          <w:lang w:val="nl-NL"/>
        </w:rPr>
        <w:t xml:space="preserve">vanuit </w:t>
      </w:r>
      <w:r w:rsidR="00F66DDD">
        <w:rPr>
          <w:lang w:val="nl-NL"/>
        </w:rPr>
        <w:t xml:space="preserve">dit perspectief ingaan op een drietal relevante punten voor de discussie over religie en seksuele geaardheid in België. </w:t>
      </w:r>
      <w:r w:rsidR="00F66DDD" w:rsidRPr="009D0D39">
        <w:rPr>
          <w:lang w:val="nl-NL"/>
        </w:rPr>
        <w:t xml:space="preserve">Ten eerste, het feit dat het huidige debat over religie en homoseksualiteit in België doorgaans aangegaan wordt met </w:t>
      </w:r>
      <w:r w:rsidR="00BF4BF7">
        <w:rPr>
          <w:lang w:val="nl-NL"/>
        </w:rPr>
        <w:t>i</w:t>
      </w:r>
      <w:r w:rsidR="00BF4BF7" w:rsidRPr="009D0D39">
        <w:rPr>
          <w:lang w:val="nl-NL"/>
        </w:rPr>
        <w:t xml:space="preserve">slam </w:t>
      </w:r>
      <w:r w:rsidR="00F66DDD" w:rsidRPr="009D0D39">
        <w:rPr>
          <w:lang w:val="nl-NL"/>
        </w:rPr>
        <w:t xml:space="preserve">in het achterhoofd. </w:t>
      </w:r>
      <w:r w:rsidR="00F66DDD">
        <w:rPr>
          <w:lang w:val="nl-NL"/>
        </w:rPr>
        <w:t xml:space="preserve">Islam is een minderheidsreligie, alsook de tweede grootste religieuze traditie in </w:t>
      </w:r>
      <w:r w:rsidR="00F66DDD" w:rsidRPr="009D0D39">
        <w:rPr>
          <w:lang w:val="nl-NL"/>
        </w:rPr>
        <w:t>België</w:t>
      </w:r>
      <w:r w:rsidR="00F66DDD">
        <w:rPr>
          <w:lang w:val="nl-NL"/>
        </w:rPr>
        <w:t xml:space="preserve"> (naar schatting 5%</w:t>
      </w:r>
      <w:r>
        <w:rPr>
          <w:lang w:val="nl-NL"/>
        </w:rPr>
        <w:t xml:space="preserve"> tot 6% van de Belgische bevolking is </w:t>
      </w:r>
      <w:r w:rsidR="00BF4BF7">
        <w:rPr>
          <w:lang w:val="nl-NL"/>
        </w:rPr>
        <w:t>moslim</w:t>
      </w:r>
      <w:r w:rsidR="00F66DDD">
        <w:rPr>
          <w:lang w:val="nl-NL"/>
        </w:rPr>
        <w:t xml:space="preserve">, tegenover 58% </w:t>
      </w:r>
      <w:r w:rsidR="00BF4BF7">
        <w:rPr>
          <w:lang w:val="nl-NL"/>
        </w:rPr>
        <w:t>rooms-k</w:t>
      </w:r>
      <w:r w:rsidR="00F66DDD">
        <w:rPr>
          <w:lang w:val="nl-NL"/>
        </w:rPr>
        <w:t xml:space="preserve">atholiek). De focus op </w:t>
      </w:r>
      <w:r w:rsidR="00BF4BF7">
        <w:rPr>
          <w:lang w:val="nl-NL"/>
        </w:rPr>
        <w:t xml:space="preserve">islam </w:t>
      </w:r>
      <w:r w:rsidR="00F66DDD">
        <w:rPr>
          <w:lang w:val="nl-NL"/>
        </w:rPr>
        <w:t>in discussies over homoseksualiteit is bedenkeli</w:t>
      </w:r>
      <w:r>
        <w:rPr>
          <w:lang w:val="nl-NL"/>
        </w:rPr>
        <w:t xml:space="preserve">jk om verschillende redenen, zoals sprekers deze ochtend al aangaven. </w:t>
      </w:r>
      <w:r w:rsidR="00F66DDD">
        <w:rPr>
          <w:lang w:val="nl-NL"/>
        </w:rPr>
        <w:t xml:space="preserve">Ik wil daar nog het volgende aan toevoegen: gegeven een bredere geopolitieke context waarin vrouwenrechten en </w:t>
      </w:r>
      <w:proofErr w:type="spellStart"/>
      <w:r w:rsidR="00F66DDD">
        <w:rPr>
          <w:lang w:val="nl-NL"/>
        </w:rPr>
        <w:t>holebirechten</w:t>
      </w:r>
      <w:proofErr w:type="spellEnd"/>
      <w:r w:rsidR="00F66DDD">
        <w:rPr>
          <w:lang w:val="nl-NL"/>
        </w:rPr>
        <w:t xml:space="preserve"> ingezet worden voor nationalistische en racistische agenda’s – een punt dat ondertussen door velen verder uitgewerkt is, en ik denk specifiek aan </w:t>
      </w:r>
      <w:proofErr w:type="spellStart"/>
      <w:r w:rsidR="00F66DDD">
        <w:rPr>
          <w:lang w:val="nl-NL"/>
        </w:rPr>
        <w:t>Jasbir</w:t>
      </w:r>
      <w:proofErr w:type="spellEnd"/>
      <w:r w:rsidR="00F66DDD">
        <w:rPr>
          <w:lang w:val="nl-NL"/>
        </w:rPr>
        <w:t xml:space="preserve"> </w:t>
      </w:r>
      <w:proofErr w:type="spellStart"/>
      <w:r w:rsidR="00F66DDD">
        <w:rPr>
          <w:lang w:val="nl-NL"/>
        </w:rPr>
        <w:t>Puar’s</w:t>
      </w:r>
      <w:proofErr w:type="spellEnd"/>
      <w:r w:rsidR="00F66DDD">
        <w:rPr>
          <w:lang w:val="nl-NL"/>
        </w:rPr>
        <w:t xml:space="preserve"> begrip van homonationalisme</w:t>
      </w:r>
      <w:r>
        <w:rPr>
          <w:rStyle w:val="Appelnotedebasdep"/>
          <w:lang w:val="nl-NL"/>
        </w:rPr>
        <w:footnoteReference w:id="3"/>
      </w:r>
      <w:r w:rsidR="00F66DDD">
        <w:rPr>
          <w:lang w:val="nl-NL"/>
        </w:rPr>
        <w:t xml:space="preserve"> – is het belangrijk om die focus op </w:t>
      </w:r>
      <w:r w:rsidR="00BF4BF7">
        <w:rPr>
          <w:lang w:val="nl-NL"/>
        </w:rPr>
        <w:t xml:space="preserve">islam </w:t>
      </w:r>
      <w:r w:rsidR="00F66DDD">
        <w:rPr>
          <w:lang w:val="nl-NL"/>
        </w:rPr>
        <w:t>telkens opnieuw te deconstrueren. Dit enerzijds va</w:t>
      </w:r>
      <w:r>
        <w:rPr>
          <w:lang w:val="nl-NL"/>
        </w:rPr>
        <w:t xml:space="preserve">nuit </w:t>
      </w:r>
      <w:proofErr w:type="spellStart"/>
      <w:r>
        <w:rPr>
          <w:lang w:val="nl-NL"/>
        </w:rPr>
        <w:t>anti-racistische</w:t>
      </w:r>
      <w:proofErr w:type="spellEnd"/>
      <w:r>
        <w:rPr>
          <w:lang w:val="nl-NL"/>
        </w:rPr>
        <w:t xml:space="preserve"> overwegingen</w:t>
      </w:r>
      <w:r w:rsidR="00F66DDD">
        <w:rPr>
          <w:lang w:val="nl-NL"/>
        </w:rPr>
        <w:t xml:space="preserve">, maar evenzeer </w:t>
      </w:r>
      <w:r>
        <w:rPr>
          <w:lang w:val="nl-NL"/>
        </w:rPr>
        <w:t xml:space="preserve">– en dat wordt vaker over het hoofd gezien – </w:t>
      </w:r>
      <w:r w:rsidR="00F66DDD">
        <w:rPr>
          <w:lang w:val="nl-NL"/>
        </w:rPr>
        <w:t>vanuit</w:t>
      </w:r>
      <w:r>
        <w:rPr>
          <w:lang w:val="nl-NL"/>
        </w:rPr>
        <w:t xml:space="preserve"> overwegingen die te maken </w:t>
      </w:r>
      <w:r w:rsidR="00BF4BF7">
        <w:rPr>
          <w:lang w:val="nl-NL"/>
        </w:rPr>
        <w:t xml:space="preserve">hebben </w:t>
      </w:r>
      <w:r>
        <w:rPr>
          <w:lang w:val="nl-NL"/>
        </w:rPr>
        <w:t>met het ondersteunen van een seksuele emancipatiestrijd</w:t>
      </w:r>
      <w:r w:rsidR="00F66DDD">
        <w:rPr>
          <w:lang w:val="nl-NL"/>
        </w:rPr>
        <w:t xml:space="preserve">. Als we </w:t>
      </w:r>
      <w:r>
        <w:rPr>
          <w:lang w:val="nl-NL"/>
        </w:rPr>
        <w:t xml:space="preserve">denken </w:t>
      </w:r>
      <w:r w:rsidR="00F66DDD">
        <w:rPr>
          <w:lang w:val="nl-NL"/>
        </w:rPr>
        <w:t xml:space="preserve">vanuit het standpunt van </w:t>
      </w:r>
      <w:proofErr w:type="spellStart"/>
      <w:r w:rsidR="00F66DDD" w:rsidRPr="00D176DE">
        <w:rPr>
          <w:i/>
          <w:lang w:val="nl-NL"/>
        </w:rPr>
        <w:t>queer</w:t>
      </w:r>
      <w:proofErr w:type="spellEnd"/>
      <w:r w:rsidR="00F66DDD">
        <w:rPr>
          <w:lang w:val="nl-NL"/>
        </w:rPr>
        <w:t xml:space="preserve"> gelovigen in het algemee</w:t>
      </w:r>
      <w:r>
        <w:rPr>
          <w:lang w:val="nl-NL"/>
        </w:rPr>
        <w:t xml:space="preserve">n, en </w:t>
      </w:r>
      <w:proofErr w:type="spellStart"/>
      <w:r w:rsidRPr="00D176DE">
        <w:rPr>
          <w:i/>
          <w:lang w:val="nl-NL"/>
        </w:rPr>
        <w:t>queer</w:t>
      </w:r>
      <w:proofErr w:type="spellEnd"/>
      <w:r>
        <w:rPr>
          <w:lang w:val="nl-NL"/>
        </w:rPr>
        <w:t xml:space="preserve"> </w:t>
      </w:r>
      <w:r w:rsidR="00BF4BF7">
        <w:rPr>
          <w:lang w:val="nl-NL"/>
        </w:rPr>
        <w:t xml:space="preserve">moslims </w:t>
      </w:r>
      <w:r>
        <w:rPr>
          <w:lang w:val="nl-NL"/>
        </w:rPr>
        <w:t>in het</w:t>
      </w:r>
      <w:r w:rsidR="00F66DDD">
        <w:rPr>
          <w:lang w:val="nl-NL"/>
        </w:rPr>
        <w:t xml:space="preserve"> bijzonder, dan staat die eenzijdige focus op </w:t>
      </w:r>
      <w:r w:rsidR="00BF4BF7">
        <w:rPr>
          <w:lang w:val="nl-NL"/>
        </w:rPr>
        <w:t>islam</w:t>
      </w:r>
      <w:r w:rsidR="00F66DDD">
        <w:rPr>
          <w:lang w:val="nl-NL"/>
        </w:rPr>
        <w:t>, die de suggesti</w:t>
      </w:r>
      <w:r>
        <w:rPr>
          <w:lang w:val="nl-NL"/>
        </w:rPr>
        <w:t>e van onverenigbaarheid van geloof en een niet-</w:t>
      </w:r>
      <w:proofErr w:type="spellStart"/>
      <w:r>
        <w:rPr>
          <w:lang w:val="nl-NL"/>
        </w:rPr>
        <w:t>heteronormatieve</w:t>
      </w:r>
      <w:proofErr w:type="spellEnd"/>
      <w:r w:rsidR="00F66DDD">
        <w:rPr>
          <w:lang w:val="nl-NL"/>
        </w:rPr>
        <w:t xml:space="preserve"> seksuele geaardheid</w:t>
      </w:r>
      <w:r>
        <w:rPr>
          <w:lang w:val="nl-NL"/>
        </w:rPr>
        <w:t xml:space="preserve"> verder consolideert, de </w:t>
      </w:r>
      <w:r w:rsidR="00F66DDD">
        <w:rPr>
          <w:lang w:val="nl-NL"/>
        </w:rPr>
        <w:t xml:space="preserve">emancipatiestrijd </w:t>
      </w:r>
      <w:r>
        <w:rPr>
          <w:lang w:val="nl-NL"/>
        </w:rPr>
        <w:t xml:space="preserve">van </w:t>
      </w:r>
      <w:proofErr w:type="spellStart"/>
      <w:r w:rsidRPr="00D176DE">
        <w:rPr>
          <w:i/>
          <w:lang w:val="nl-NL"/>
        </w:rPr>
        <w:t>queer</w:t>
      </w:r>
      <w:proofErr w:type="spellEnd"/>
      <w:r>
        <w:rPr>
          <w:lang w:val="nl-NL"/>
        </w:rPr>
        <w:t xml:space="preserve"> </w:t>
      </w:r>
      <w:r w:rsidR="00BF4BF7">
        <w:rPr>
          <w:lang w:val="nl-NL"/>
        </w:rPr>
        <w:t xml:space="preserve">moslims </w:t>
      </w:r>
      <w:r w:rsidR="00F66DDD">
        <w:rPr>
          <w:lang w:val="nl-NL"/>
        </w:rPr>
        <w:t>simpelweg in de weg. Laten we daarentegen zorg dragen om: (1) debatten over religie en seksuele geaardheid te situeren in bredere kaders over, en een meer complex begrip van, religieuze tradities; en (2) een mac</w:t>
      </w:r>
      <w:r>
        <w:rPr>
          <w:lang w:val="nl-NL"/>
        </w:rPr>
        <w:t>htsanalyse in te brengen die niet voorbij gaat aan het feit dat</w:t>
      </w:r>
      <w:r w:rsidR="00F66DDD">
        <w:rPr>
          <w:lang w:val="nl-NL"/>
        </w:rPr>
        <w:t xml:space="preserve"> in een gegeven maatschappelijke context meerderheids- en minderheidsreligies bestaan, zoals er meerderheids- en minder</w:t>
      </w:r>
      <w:r>
        <w:rPr>
          <w:lang w:val="nl-NL"/>
        </w:rPr>
        <w:t>heids</w:t>
      </w:r>
      <w:r w:rsidR="00BF4BF7">
        <w:rPr>
          <w:lang w:val="nl-NL"/>
        </w:rPr>
        <w:t>-</w:t>
      </w:r>
      <w:r>
        <w:rPr>
          <w:lang w:val="nl-NL"/>
        </w:rPr>
        <w:t xml:space="preserve">etnische groepen bestaan. Feministische </w:t>
      </w:r>
      <w:r w:rsidR="00F66DDD">
        <w:rPr>
          <w:lang w:val="nl-NL"/>
        </w:rPr>
        <w:t xml:space="preserve">theorie heeft ons </w:t>
      </w:r>
      <w:r>
        <w:rPr>
          <w:lang w:val="nl-NL"/>
        </w:rPr>
        <w:t xml:space="preserve">immers </w:t>
      </w:r>
      <w:r w:rsidR="00F66DDD">
        <w:rPr>
          <w:lang w:val="nl-NL"/>
        </w:rPr>
        <w:t xml:space="preserve">geleerd dat zowel gender als seksualiteit op verschillende manieren gevormd worden en </w:t>
      </w:r>
      <w:r>
        <w:rPr>
          <w:lang w:val="nl-NL"/>
        </w:rPr>
        <w:t xml:space="preserve">op verschillende manieren </w:t>
      </w:r>
      <w:r w:rsidR="00F66DDD">
        <w:rPr>
          <w:lang w:val="nl-NL"/>
        </w:rPr>
        <w:t>onder druk komen te staan al naargelang die machtsdifferentiaties.</w:t>
      </w:r>
      <w:r>
        <w:rPr>
          <w:rStyle w:val="Appelnotedebasdep"/>
          <w:lang w:val="nl-NL"/>
        </w:rPr>
        <w:footnoteReference w:id="4"/>
      </w:r>
      <w:r w:rsidR="00F66DDD">
        <w:rPr>
          <w:lang w:val="nl-NL"/>
        </w:rPr>
        <w:t xml:space="preserve"> </w:t>
      </w:r>
    </w:p>
    <w:p w:rsidR="00F66DDD" w:rsidRDefault="00F66DDD" w:rsidP="00DA0FF4">
      <w:pPr>
        <w:jc w:val="both"/>
        <w:rPr>
          <w:lang w:val="nl-NL"/>
        </w:rPr>
      </w:pPr>
    </w:p>
    <w:p w:rsidR="00F66DDD" w:rsidRDefault="00F66DDD" w:rsidP="00DA0FF4">
      <w:pPr>
        <w:jc w:val="both"/>
        <w:rPr>
          <w:lang w:val="nl-NL"/>
        </w:rPr>
      </w:pPr>
      <w:r w:rsidRPr="009D0D39">
        <w:rPr>
          <w:lang w:val="nl-NL"/>
        </w:rPr>
        <w:t xml:space="preserve">Ten tweede, hoe </w:t>
      </w:r>
      <w:r>
        <w:rPr>
          <w:lang w:val="nl-NL"/>
        </w:rPr>
        <w:t xml:space="preserve">moeten </w:t>
      </w:r>
      <w:r w:rsidRPr="009D0D39">
        <w:rPr>
          <w:lang w:val="nl-NL"/>
        </w:rPr>
        <w:t xml:space="preserve">we </w:t>
      </w:r>
      <w:r>
        <w:rPr>
          <w:lang w:val="nl-NL"/>
        </w:rPr>
        <w:t xml:space="preserve">de positionering </w:t>
      </w:r>
      <w:r w:rsidR="0079249C">
        <w:rPr>
          <w:lang w:val="nl-NL"/>
        </w:rPr>
        <w:t xml:space="preserve">ten aanzien van </w:t>
      </w:r>
      <w:r w:rsidR="0079249C" w:rsidRPr="009D0D39">
        <w:rPr>
          <w:lang w:val="nl-NL"/>
        </w:rPr>
        <w:t>homoseksualiteit</w:t>
      </w:r>
      <w:r w:rsidR="0079249C">
        <w:rPr>
          <w:lang w:val="nl-NL"/>
        </w:rPr>
        <w:t xml:space="preserve"> binnen de </w:t>
      </w:r>
      <w:r w:rsidRPr="009D0D39">
        <w:rPr>
          <w:lang w:val="nl-NL"/>
        </w:rPr>
        <w:t>recent</w:t>
      </w:r>
      <w:r>
        <w:rPr>
          <w:lang w:val="nl-NL"/>
        </w:rPr>
        <w:t>e</w:t>
      </w:r>
      <w:r w:rsidRPr="009D0D39">
        <w:rPr>
          <w:lang w:val="nl-NL"/>
        </w:rPr>
        <w:t xml:space="preserve"> </w:t>
      </w:r>
      <w:r w:rsidR="00BF4BF7">
        <w:rPr>
          <w:lang w:val="nl-NL"/>
        </w:rPr>
        <w:t>f</w:t>
      </w:r>
      <w:r w:rsidR="00BF4BF7" w:rsidRPr="009D0D39">
        <w:rPr>
          <w:lang w:val="nl-NL"/>
        </w:rPr>
        <w:t>amilie</w:t>
      </w:r>
      <w:r w:rsidR="00BF4BF7">
        <w:rPr>
          <w:lang w:val="nl-NL"/>
        </w:rPr>
        <w:t>s</w:t>
      </w:r>
      <w:r w:rsidRPr="009D0D39">
        <w:rPr>
          <w:lang w:val="nl-NL"/>
        </w:rPr>
        <w:t xml:space="preserve">ynode in Rome </w:t>
      </w:r>
      <w:r>
        <w:rPr>
          <w:lang w:val="nl-NL"/>
        </w:rPr>
        <w:t>begrijpen</w:t>
      </w:r>
      <w:r w:rsidRPr="009D0D39">
        <w:rPr>
          <w:lang w:val="nl-NL"/>
        </w:rPr>
        <w:t xml:space="preserve">? </w:t>
      </w:r>
      <w:r w:rsidR="00A635F1">
        <w:rPr>
          <w:lang w:val="nl-NL"/>
        </w:rPr>
        <w:t xml:space="preserve">De buitengewone synode (wat verwijst naar een </w:t>
      </w:r>
      <w:r>
        <w:rPr>
          <w:lang w:val="nl-NL"/>
        </w:rPr>
        <w:t xml:space="preserve">algemene vergadering van bisschoppen) over de familie die </w:t>
      </w:r>
      <w:r w:rsidR="00A635F1">
        <w:rPr>
          <w:lang w:val="nl-NL"/>
        </w:rPr>
        <w:t xml:space="preserve">in oktober 2014 </w:t>
      </w:r>
      <w:r>
        <w:rPr>
          <w:lang w:val="nl-NL"/>
        </w:rPr>
        <w:t>in Rome plaatsvond, was het begin</w:t>
      </w:r>
      <w:r w:rsidR="00BF4BF7">
        <w:rPr>
          <w:lang w:val="nl-NL"/>
        </w:rPr>
        <w:t xml:space="preserve"> van</w:t>
      </w:r>
      <w:r>
        <w:rPr>
          <w:lang w:val="nl-NL"/>
        </w:rPr>
        <w:t xml:space="preserve"> een langer proces dat in een gewone synode </w:t>
      </w:r>
      <w:r w:rsidR="00EC48AC">
        <w:rPr>
          <w:lang w:val="nl-NL"/>
        </w:rPr>
        <w:t>in oktober 2015 zal culmineren</w:t>
      </w:r>
      <w:r>
        <w:rPr>
          <w:lang w:val="nl-NL"/>
        </w:rPr>
        <w:t xml:space="preserve">, dus het is </w:t>
      </w:r>
      <w:r w:rsidR="00EC48AC">
        <w:rPr>
          <w:lang w:val="nl-NL"/>
        </w:rPr>
        <w:t xml:space="preserve">in ieder geval </w:t>
      </w:r>
      <w:r>
        <w:rPr>
          <w:lang w:val="nl-NL"/>
        </w:rPr>
        <w:t>nog te vroeg om definitieve oordelen</w:t>
      </w:r>
      <w:r w:rsidR="00BF4BF7">
        <w:rPr>
          <w:lang w:val="nl-NL"/>
        </w:rPr>
        <w:t xml:space="preserve"> te vellen</w:t>
      </w:r>
      <w:r w:rsidR="00EC48AC">
        <w:rPr>
          <w:lang w:val="nl-NL"/>
        </w:rPr>
        <w:t xml:space="preserve">. Tot nog toe zagen we het volgende: Ten eerste, </w:t>
      </w:r>
      <w:r>
        <w:rPr>
          <w:lang w:val="nl-NL"/>
        </w:rPr>
        <w:t xml:space="preserve">een moment van hoop voor katholieke </w:t>
      </w:r>
      <w:proofErr w:type="spellStart"/>
      <w:r>
        <w:rPr>
          <w:lang w:val="nl-NL"/>
        </w:rPr>
        <w:t>holebi’s</w:t>
      </w:r>
      <w:proofErr w:type="spellEnd"/>
      <w:r>
        <w:rPr>
          <w:lang w:val="nl-NL"/>
        </w:rPr>
        <w:t xml:space="preserve"> </w:t>
      </w:r>
      <w:r w:rsidRPr="00705B4C">
        <w:rPr>
          <w:lang w:val="nl-NL"/>
        </w:rPr>
        <w:t>n</w:t>
      </w:r>
      <w:r>
        <w:rPr>
          <w:lang w:val="nl-NL"/>
        </w:rPr>
        <w:t>adat het eerste verslag van de s</w:t>
      </w:r>
      <w:r w:rsidRPr="00705B4C">
        <w:rPr>
          <w:lang w:val="nl-NL"/>
        </w:rPr>
        <w:t>ynode uitkwam</w:t>
      </w:r>
      <w:r>
        <w:rPr>
          <w:lang w:val="nl-NL"/>
        </w:rPr>
        <w:t xml:space="preserve">, waarin 3 artikels gewijd waren aan eerst </w:t>
      </w:r>
      <w:r w:rsidRPr="00705B4C">
        <w:rPr>
          <w:lang w:val="nl-NL"/>
        </w:rPr>
        <w:t>“verwelkoming va</w:t>
      </w:r>
      <w:r>
        <w:rPr>
          <w:lang w:val="nl-NL"/>
        </w:rPr>
        <w:t xml:space="preserve">n homoseksuele personen” wat snel daarna gewijzigd werd in </w:t>
      </w:r>
      <w:r w:rsidRPr="00705B4C">
        <w:rPr>
          <w:lang w:val="nl-NL"/>
        </w:rPr>
        <w:t>“het verstrekken van diens</w:t>
      </w:r>
      <w:r>
        <w:rPr>
          <w:lang w:val="nl-NL"/>
        </w:rPr>
        <w:t xml:space="preserve">ten aan homoseksuele personen”. </w:t>
      </w:r>
      <w:r>
        <w:rPr>
          <w:lang w:val="nl-NL"/>
        </w:rPr>
        <w:lastRenderedPageBreak/>
        <w:t>Daarbi</w:t>
      </w:r>
      <w:r w:rsidR="00EC48AC">
        <w:rPr>
          <w:lang w:val="nl-NL"/>
        </w:rPr>
        <w:t>j moet benadrukt worden dat de</w:t>
      </w:r>
      <w:r>
        <w:rPr>
          <w:lang w:val="nl-NL"/>
        </w:rPr>
        <w:t xml:space="preserve"> </w:t>
      </w:r>
      <w:r w:rsidR="00EC48AC">
        <w:rPr>
          <w:lang w:val="nl-NL"/>
        </w:rPr>
        <w:t xml:space="preserve">opening die sommigen hier meenden te bespeuren </w:t>
      </w:r>
      <w:r>
        <w:rPr>
          <w:lang w:val="nl-NL"/>
        </w:rPr>
        <w:t>gesitueerd waren op het vlak van pastorale zorg, en niet dogma</w:t>
      </w:r>
      <w:r w:rsidRPr="00705B4C">
        <w:rPr>
          <w:lang w:val="nl-NL"/>
        </w:rPr>
        <w:t xml:space="preserve"> </w:t>
      </w:r>
      <w:r>
        <w:rPr>
          <w:lang w:val="nl-NL"/>
        </w:rPr>
        <w:t>(</w:t>
      </w:r>
      <w:r w:rsidR="00EC48AC">
        <w:rPr>
          <w:lang w:val="nl-NL"/>
        </w:rPr>
        <w:t xml:space="preserve">dogma stond niet ter discussie). Ten tweede, </w:t>
      </w:r>
      <w:r>
        <w:rPr>
          <w:lang w:val="nl-NL"/>
        </w:rPr>
        <w:t>een U-turn in het uiteindelijke verslag dat door de b</w:t>
      </w:r>
      <w:r w:rsidR="00EC48AC">
        <w:rPr>
          <w:lang w:val="nl-NL"/>
        </w:rPr>
        <w:t>isschoppen gestemd werd, waar de</w:t>
      </w:r>
      <w:r>
        <w:rPr>
          <w:lang w:val="nl-NL"/>
        </w:rPr>
        <w:t xml:space="preserve"> 2 artikels gewijd </w:t>
      </w:r>
      <w:r w:rsidR="00EC48AC">
        <w:rPr>
          <w:lang w:val="nl-NL"/>
        </w:rPr>
        <w:t xml:space="preserve">aan homoseksualiteit </w:t>
      </w:r>
      <w:r>
        <w:rPr>
          <w:lang w:val="nl-NL"/>
        </w:rPr>
        <w:t xml:space="preserve">niets meer of minder doen dan het officiële standpunt van de kerk herhalen (inclusief een verwijzing naar een document uit 2003 van de </w:t>
      </w:r>
      <w:r w:rsidR="00BF4BF7">
        <w:rPr>
          <w:lang w:val="nl-NL"/>
        </w:rPr>
        <w:t xml:space="preserve">congregatie </w:t>
      </w:r>
      <w:r>
        <w:rPr>
          <w:lang w:val="nl-NL"/>
        </w:rPr>
        <w:t xml:space="preserve">voor de geloofsleer) – dus geen stap vooruit, ook niet </w:t>
      </w:r>
      <w:r w:rsidR="00EC48AC">
        <w:rPr>
          <w:lang w:val="nl-NL"/>
        </w:rPr>
        <w:t xml:space="preserve">op het vlak van pastorale zorg. Ten derde, een aantal </w:t>
      </w:r>
      <w:r>
        <w:rPr>
          <w:lang w:val="nl-NL"/>
        </w:rPr>
        <w:t xml:space="preserve">vernieuwingen in het proces waarbij de paus duidelijk koos om dit meer publiek te maken dan de </w:t>
      </w:r>
      <w:r w:rsidR="00BF4BF7">
        <w:rPr>
          <w:lang w:val="nl-NL"/>
        </w:rPr>
        <w:t xml:space="preserve">katholieke </w:t>
      </w:r>
      <w:r>
        <w:rPr>
          <w:lang w:val="nl-NL"/>
        </w:rPr>
        <w:t xml:space="preserve">kerk </w:t>
      </w:r>
      <w:r w:rsidR="00EC48AC">
        <w:rPr>
          <w:lang w:val="nl-NL"/>
        </w:rPr>
        <w:t xml:space="preserve">gewoon is </w:t>
      </w:r>
      <w:r>
        <w:rPr>
          <w:lang w:val="nl-NL"/>
        </w:rPr>
        <w:t>(</w:t>
      </w:r>
      <w:r w:rsidR="00EC48AC">
        <w:rPr>
          <w:lang w:val="nl-NL"/>
        </w:rPr>
        <w:t xml:space="preserve">waar iets publiek maken als snel als “de vuile was buiten </w:t>
      </w:r>
      <w:r>
        <w:rPr>
          <w:lang w:val="nl-NL"/>
        </w:rPr>
        <w:t>hangen”</w:t>
      </w:r>
      <w:r w:rsidR="00EC48AC">
        <w:rPr>
          <w:lang w:val="nl-NL"/>
        </w:rPr>
        <w:t xml:space="preserve"> gezien wordt</w:t>
      </w:r>
      <w:r>
        <w:rPr>
          <w:lang w:val="nl-NL"/>
        </w:rPr>
        <w:t>), door deze “buitengewone” synode bijeen te roepen (en dus een jaar</w:t>
      </w:r>
      <w:r w:rsidR="00BF4BF7">
        <w:rPr>
          <w:lang w:val="nl-NL"/>
        </w:rPr>
        <w:t xml:space="preserve"> </w:t>
      </w:r>
      <w:r>
        <w:rPr>
          <w:lang w:val="nl-NL"/>
        </w:rPr>
        <w:t>lang discussie op gang te brengen), door op voorhand de bisschoppen op te roepen om openhartig te zijn, en het aantal stemmen, per artikel, te publiceren</w:t>
      </w:r>
      <w:r w:rsidR="00EC48AC">
        <w:rPr>
          <w:lang w:val="nl-NL"/>
        </w:rPr>
        <w:t xml:space="preserve"> (de tweede keer in de recente geschiedenis van de </w:t>
      </w:r>
      <w:r w:rsidR="00BF4BF7">
        <w:rPr>
          <w:lang w:val="nl-NL"/>
        </w:rPr>
        <w:t>kerk</w:t>
      </w:r>
      <w:r w:rsidR="00EC48AC">
        <w:rPr>
          <w:lang w:val="nl-NL"/>
        </w:rPr>
        <w:t xml:space="preserve">). En tot slot, een duidelijke aanwakkering van het debat in de Kerk alsook de strijdlustigheid bij </w:t>
      </w:r>
      <w:r w:rsidR="00BF4BF7">
        <w:rPr>
          <w:lang w:val="nl-NL"/>
        </w:rPr>
        <w:t>katholieke</w:t>
      </w:r>
      <w:r w:rsidR="00BF4BF7" w:rsidRPr="00D71F4A">
        <w:rPr>
          <w:lang w:val="nl-NL"/>
        </w:rPr>
        <w:t xml:space="preserve"> </w:t>
      </w:r>
      <w:proofErr w:type="spellStart"/>
      <w:r w:rsidRPr="00D71F4A">
        <w:rPr>
          <w:lang w:val="nl-NL"/>
        </w:rPr>
        <w:t>holebi</w:t>
      </w:r>
      <w:r>
        <w:rPr>
          <w:lang w:val="nl-NL"/>
        </w:rPr>
        <w:t>’</w:t>
      </w:r>
      <w:r w:rsidR="00EC48AC">
        <w:rPr>
          <w:lang w:val="nl-NL"/>
        </w:rPr>
        <w:t>s</w:t>
      </w:r>
      <w:proofErr w:type="spellEnd"/>
      <w:r w:rsidR="00EC48AC">
        <w:rPr>
          <w:lang w:val="nl-NL"/>
        </w:rPr>
        <w:t>.</w:t>
      </w:r>
    </w:p>
    <w:p w:rsidR="00F66DDD" w:rsidRPr="00D71F4A" w:rsidRDefault="00F66DDD" w:rsidP="00DA0FF4">
      <w:pPr>
        <w:jc w:val="both"/>
        <w:rPr>
          <w:lang w:val="nl-NL"/>
        </w:rPr>
      </w:pPr>
    </w:p>
    <w:p w:rsidR="00F66DDD" w:rsidRDefault="00F66DDD" w:rsidP="00DA0FF4">
      <w:pPr>
        <w:jc w:val="both"/>
        <w:rPr>
          <w:lang w:val="nl-NL"/>
        </w:rPr>
      </w:pPr>
      <w:r w:rsidRPr="009D0D39">
        <w:rPr>
          <w:lang w:val="nl-NL"/>
        </w:rPr>
        <w:t xml:space="preserve">Ten derde, </w:t>
      </w:r>
      <w:r>
        <w:rPr>
          <w:lang w:val="nl-NL"/>
        </w:rPr>
        <w:t xml:space="preserve">hoe zit het met de </w:t>
      </w:r>
      <w:r w:rsidRPr="009D0D39">
        <w:rPr>
          <w:lang w:val="nl-NL"/>
        </w:rPr>
        <w:t>on</w:t>
      </w:r>
      <w:r>
        <w:rPr>
          <w:lang w:val="nl-NL"/>
        </w:rPr>
        <w:t>twikkelingen</w:t>
      </w:r>
      <w:r w:rsidRPr="009D0D39">
        <w:rPr>
          <w:lang w:val="nl-NL"/>
        </w:rPr>
        <w:t xml:space="preserve"> op het vlak van </w:t>
      </w:r>
      <w:proofErr w:type="spellStart"/>
      <w:r w:rsidRPr="009D0D39">
        <w:rPr>
          <w:i/>
          <w:lang w:val="nl-NL"/>
        </w:rPr>
        <w:t>queer</w:t>
      </w:r>
      <w:proofErr w:type="spellEnd"/>
      <w:r w:rsidRPr="009D0D39">
        <w:rPr>
          <w:i/>
          <w:lang w:val="nl-NL"/>
        </w:rPr>
        <w:t xml:space="preserve"> </w:t>
      </w:r>
      <w:r w:rsidRPr="009D0D39">
        <w:rPr>
          <w:lang w:val="nl-NL"/>
        </w:rPr>
        <w:t xml:space="preserve">theologie binnen de </w:t>
      </w:r>
      <w:r>
        <w:rPr>
          <w:lang w:val="nl-NL"/>
        </w:rPr>
        <w:t xml:space="preserve">gevestigde religieuze </w:t>
      </w:r>
      <w:r w:rsidRPr="009D0D39">
        <w:rPr>
          <w:lang w:val="nl-NL"/>
        </w:rPr>
        <w:t xml:space="preserve">tradities? </w:t>
      </w:r>
      <w:r>
        <w:rPr>
          <w:lang w:val="nl-NL"/>
        </w:rPr>
        <w:t xml:space="preserve">Patrick </w:t>
      </w:r>
      <w:proofErr w:type="spellStart"/>
      <w:r>
        <w:rPr>
          <w:lang w:val="nl-NL"/>
        </w:rPr>
        <w:t>Cheng</w:t>
      </w:r>
      <w:proofErr w:type="spellEnd"/>
      <w:r>
        <w:rPr>
          <w:lang w:val="nl-NL"/>
        </w:rPr>
        <w:t xml:space="preserve"> ondersche</w:t>
      </w:r>
      <w:r w:rsidR="00EC48AC">
        <w:rPr>
          <w:lang w:val="nl-NL"/>
        </w:rPr>
        <w:t xml:space="preserve">idt vier benaderingen binnen het brede veld van de </w:t>
      </w:r>
      <w:proofErr w:type="spellStart"/>
      <w:r w:rsidR="00EC48AC" w:rsidRPr="00D176DE">
        <w:rPr>
          <w:i/>
          <w:lang w:val="nl-NL"/>
        </w:rPr>
        <w:t>queer</w:t>
      </w:r>
      <w:proofErr w:type="spellEnd"/>
      <w:r w:rsidR="00EC48AC">
        <w:rPr>
          <w:lang w:val="nl-NL"/>
        </w:rPr>
        <w:t xml:space="preserve"> theologie</w:t>
      </w:r>
      <w:r>
        <w:rPr>
          <w:lang w:val="nl-NL"/>
        </w:rPr>
        <w:t xml:space="preserve">: (1) een </w:t>
      </w:r>
      <w:r w:rsidRPr="00D71F4A">
        <w:rPr>
          <w:lang w:val="nl-NL"/>
        </w:rPr>
        <w:t>apologetische theologie</w:t>
      </w:r>
      <w:r>
        <w:rPr>
          <w:lang w:val="nl-NL"/>
        </w:rPr>
        <w:t xml:space="preserve">, die </w:t>
      </w:r>
      <w:r w:rsidRPr="00D71F4A">
        <w:rPr>
          <w:lang w:val="nl-NL"/>
        </w:rPr>
        <w:t xml:space="preserve">gericht </w:t>
      </w:r>
      <w:r>
        <w:rPr>
          <w:lang w:val="nl-NL"/>
        </w:rPr>
        <w:t xml:space="preserve">is </w:t>
      </w:r>
      <w:r w:rsidRPr="00D71F4A">
        <w:rPr>
          <w:lang w:val="nl-NL"/>
        </w:rPr>
        <w:t xml:space="preserve">op aanvaarden dat men gelovig en </w:t>
      </w:r>
      <w:proofErr w:type="spellStart"/>
      <w:r w:rsidRPr="00D176DE">
        <w:rPr>
          <w:i/>
          <w:lang w:val="nl-NL"/>
        </w:rPr>
        <w:t>queer</w:t>
      </w:r>
      <w:proofErr w:type="spellEnd"/>
      <w:r w:rsidRPr="00D71F4A">
        <w:rPr>
          <w:lang w:val="nl-NL"/>
        </w:rPr>
        <w:t xml:space="preserve"> kan zijn</w:t>
      </w:r>
      <w:r>
        <w:rPr>
          <w:lang w:val="nl-NL"/>
        </w:rPr>
        <w:t>; (2) een bevrijdingstheologie</w:t>
      </w:r>
      <w:r w:rsidR="00BF4BF7">
        <w:rPr>
          <w:lang w:val="nl-NL"/>
        </w:rPr>
        <w:t>,</w:t>
      </w:r>
      <w:r>
        <w:rPr>
          <w:lang w:val="nl-NL"/>
        </w:rPr>
        <w:t xml:space="preserve"> die geen genoegen neemt met simpelweg aanvaarden van homoseksualiteit, maar waarbinnen de religieuze traditie gezien wordt als een mogelijke grond voor de bevrijding van </w:t>
      </w:r>
      <w:r w:rsidRPr="00D71F4A">
        <w:rPr>
          <w:lang w:val="nl-NL"/>
        </w:rPr>
        <w:t>het juk van h</w:t>
      </w:r>
      <w:r>
        <w:rPr>
          <w:lang w:val="nl-NL"/>
        </w:rPr>
        <w:t xml:space="preserve">eteronormativiteit en homofobie; (3) een relationele theologie, waarbinnen God gezocht wordt in </w:t>
      </w:r>
      <w:r w:rsidRPr="00D71F4A">
        <w:rPr>
          <w:lang w:val="nl-NL"/>
        </w:rPr>
        <w:t>het erotische</w:t>
      </w:r>
      <w:r>
        <w:rPr>
          <w:lang w:val="nl-NL"/>
        </w:rPr>
        <w:t xml:space="preserve"> en de erotische verhouding tot de andere; en (4) de </w:t>
      </w:r>
      <w:proofErr w:type="spellStart"/>
      <w:r w:rsidRPr="00D176DE">
        <w:rPr>
          <w:i/>
          <w:lang w:val="nl-NL"/>
        </w:rPr>
        <w:t>queer</w:t>
      </w:r>
      <w:proofErr w:type="spellEnd"/>
      <w:r w:rsidRPr="00D71F4A">
        <w:rPr>
          <w:lang w:val="nl-NL"/>
        </w:rPr>
        <w:t xml:space="preserve"> theologie</w:t>
      </w:r>
      <w:r>
        <w:rPr>
          <w:lang w:val="nl-NL"/>
        </w:rPr>
        <w:t xml:space="preserve"> </w:t>
      </w:r>
      <w:proofErr w:type="spellStart"/>
      <w:r w:rsidRPr="00EC48AC">
        <w:rPr>
          <w:i/>
          <w:lang w:val="nl-NL"/>
        </w:rPr>
        <w:t>senso</w:t>
      </w:r>
      <w:proofErr w:type="spellEnd"/>
      <w:r w:rsidRPr="00EC48AC">
        <w:rPr>
          <w:i/>
          <w:lang w:val="nl-NL"/>
        </w:rPr>
        <w:t xml:space="preserve"> </w:t>
      </w:r>
      <w:proofErr w:type="spellStart"/>
      <w:r w:rsidRPr="00EC48AC">
        <w:rPr>
          <w:i/>
          <w:lang w:val="nl-NL"/>
        </w:rPr>
        <w:t>strictu</w:t>
      </w:r>
      <w:proofErr w:type="spellEnd"/>
      <w:r>
        <w:rPr>
          <w:lang w:val="nl-NL"/>
        </w:rPr>
        <w:t>, waarbij men een theologie tracht te formuleren die voorbij binaire onderscheidingen zoals m/v of hetero/homo gaat</w:t>
      </w:r>
      <w:r w:rsidR="00EC48AC">
        <w:rPr>
          <w:lang w:val="nl-NL"/>
        </w:rPr>
        <w:t>.</w:t>
      </w:r>
      <w:r w:rsidR="00EC48AC">
        <w:rPr>
          <w:rStyle w:val="Appelnotedebasdep"/>
          <w:lang w:val="nl-NL"/>
        </w:rPr>
        <w:footnoteReference w:id="5"/>
      </w:r>
      <w:r>
        <w:rPr>
          <w:lang w:val="nl-NL"/>
        </w:rPr>
        <w:t xml:space="preserve"> </w:t>
      </w:r>
    </w:p>
    <w:p w:rsidR="00F66DDD" w:rsidRDefault="00F66DDD" w:rsidP="00DA0FF4">
      <w:pPr>
        <w:jc w:val="both"/>
        <w:rPr>
          <w:lang w:val="nl-NL"/>
        </w:rPr>
      </w:pPr>
    </w:p>
    <w:p w:rsidR="00F66DDD" w:rsidRDefault="00F66DDD" w:rsidP="00DA0FF4">
      <w:pPr>
        <w:jc w:val="both"/>
        <w:rPr>
          <w:lang w:val="nl-NL"/>
        </w:rPr>
      </w:pPr>
      <w:r>
        <w:rPr>
          <w:lang w:val="nl-NL"/>
        </w:rPr>
        <w:t xml:space="preserve">Om het concreter te maken, sluit ik af met een aantal argumentaties die op verschillende wijze terugkomen binnen </w:t>
      </w:r>
      <w:proofErr w:type="spellStart"/>
      <w:r w:rsidRPr="00D176DE">
        <w:rPr>
          <w:i/>
          <w:lang w:val="nl-NL"/>
        </w:rPr>
        <w:t>queer</w:t>
      </w:r>
      <w:proofErr w:type="spellEnd"/>
      <w:r>
        <w:rPr>
          <w:lang w:val="nl-NL"/>
        </w:rPr>
        <w:t xml:space="preserve"> theologie</w:t>
      </w:r>
      <w:r w:rsidR="0079249C">
        <w:rPr>
          <w:lang w:val="nl-NL"/>
        </w:rPr>
        <w:t xml:space="preserve"> en de leefwereld van </w:t>
      </w:r>
      <w:proofErr w:type="spellStart"/>
      <w:r w:rsidR="0079249C" w:rsidRPr="00D176DE">
        <w:rPr>
          <w:i/>
          <w:lang w:val="nl-NL"/>
        </w:rPr>
        <w:t>queer</w:t>
      </w:r>
      <w:proofErr w:type="spellEnd"/>
      <w:r w:rsidR="0079249C">
        <w:rPr>
          <w:lang w:val="nl-NL"/>
        </w:rPr>
        <w:t xml:space="preserve"> gelovigen</w:t>
      </w:r>
      <w:r>
        <w:rPr>
          <w:lang w:val="nl-NL"/>
        </w:rPr>
        <w:t>, zowel binnen verschillende religieuze tradities, alsook binnen de verschillende benaderingen die ik net schetste:</w:t>
      </w:r>
    </w:p>
    <w:p w:rsidR="00F66DDD" w:rsidRPr="002D6764" w:rsidRDefault="00F66DDD" w:rsidP="00DA0FF4">
      <w:pPr>
        <w:pStyle w:val="Paragraphedeliste"/>
        <w:numPr>
          <w:ilvl w:val="0"/>
          <w:numId w:val="1"/>
        </w:numPr>
        <w:jc w:val="both"/>
        <w:rPr>
          <w:lang w:val="nl-NL"/>
        </w:rPr>
      </w:pPr>
      <w:r>
        <w:rPr>
          <w:lang w:val="nl-NL"/>
        </w:rPr>
        <w:t xml:space="preserve">De (eerder apologetische) erkenning: </w:t>
      </w:r>
      <w:r w:rsidRPr="002D6764">
        <w:rPr>
          <w:lang w:val="nl-NL"/>
        </w:rPr>
        <w:t>“Ik ben</w:t>
      </w:r>
      <w:r>
        <w:rPr>
          <w:lang w:val="nl-NL"/>
        </w:rPr>
        <w:t xml:space="preserve"> door God geschapen; </w:t>
      </w:r>
      <w:r w:rsidRPr="002D6764">
        <w:rPr>
          <w:lang w:val="nl-NL"/>
        </w:rPr>
        <w:t>God houdt van mij</w:t>
      </w:r>
      <w:r>
        <w:rPr>
          <w:lang w:val="nl-NL"/>
        </w:rPr>
        <w:t xml:space="preserve"> op de wijze waarop ik geschapen ben.</w:t>
      </w:r>
      <w:r w:rsidRPr="002D6764">
        <w:rPr>
          <w:lang w:val="nl-NL"/>
        </w:rPr>
        <w:t>”</w:t>
      </w:r>
    </w:p>
    <w:p w:rsidR="00F66DDD" w:rsidRPr="00E700C4" w:rsidRDefault="00F66DDD" w:rsidP="00DA0FF4">
      <w:pPr>
        <w:pStyle w:val="Paragraphedeliste"/>
        <w:numPr>
          <w:ilvl w:val="0"/>
          <w:numId w:val="1"/>
        </w:numPr>
        <w:jc w:val="both"/>
        <w:rPr>
          <w:lang w:val="nl-NL"/>
        </w:rPr>
      </w:pPr>
      <w:r>
        <w:rPr>
          <w:lang w:val="nl-NL"/>
        </w:rPr>
        <w:t>De herinterpretatie van de fragmenten in de gezaghebbende religieuze geschriften die ingeroepen worden om homoseksualiteit te verwerpen. Hierbij vallen twee zaken op: ten eerste, er zijn maar weinig verzen in de monotheïstisch</w:t>
      </w:r>
      <w:r w:rsidR="0079249C">
        <w:rPr>
          <w:lang w:val="nl-NL"/>
        </w:rPr>
        <w:t>e</w:t>
      </w:r>
      <w:r>
        <w:rPr>
          <w:lang w:val="nl-NL"/>
        </w:rPr>
        <w:t xml:space="preserve"> religies die uitdrukkelijk over homoseksualiteit gaan (er zijn er </w:t>
      </w:r>
      <w:r w:rsidR="0079249C">
        <w:rPr>
          <w:lang w:val="nl-NL"/>
        </w:rPr>
        <w:t xml:space="preserve">bijvoorbeeld </w:t>
      </w:r>
      <w:r>
        <w:rPr>
          <w:lang w:val="nl-NL"/>
        </w:rPr>
        <w:t xml:space="preserve">veel meer die over </w:t>
      </w:r>
      <w:r w:rsidR="0079249C">
        <w:rPr>
          <w:lang w:val="nl-NL"/>
        </w:rPr>
        <w:t xml:space="preserve">de </w:t>
      </w:r>
      <w:r>
        <w:rPr>
          <w:lang w:val="nl-NL"/>
        </w:rPr>
        <w:t>herverdeling van rijkdom gaan). Ten tweede, het cruciale verhaal waar homoseksualiteit aan bod komt in de monotheïstisch</w:t>
      </w:r>
      <w:r w:rsidR="0079249C">
        <w:rPr>
          <w:lang w:val="nl-NL"/>
        </w:rPr>
        <w:t>e</w:t>
      </w:r>
      <w:r>
        <w:rPr>
          <w:lang w:val="nl-NL"/>
        </w:rPr>
        <w:t xml:space="preserve"> religies – het verhaal van Lot/Loet, de neef van Abraham, dat deel uitmaakt van de Thora, het Oude Testament en de Koran –</w:t>
      </w:r>
      <w:r w:rsidRPr="00E700C4">
        <w:rPr>
          <w:lang w:val="nl-NL"/>
        </w:rPr>
        <w:t xml:space="preserve"> wordt </w:t>
      </w:r>
      <w:r>
        <w:rPr>
          <w:lang w:val="nl-NL"/>
        </w:rPr>
        <w:t xml:space="preserve">aan een alternatieve hermeneutiek onderworpen, </w:t>
      </w:r>
      <w:r w:rsidRPr="00E700C4">
        <w:rPr>
          <w:lang w:val="nl-NL"/>
        </w:rPr>
        <w:t>waarbij de nadruk komt te liggen op gastvrijheid (h</w:t>
      </w:r>
      <w:r>
        <w:rPr>
          <w:lang w:val="nl-NL"/>
        </w:rPr>
        <w:t>et volk van Lot wordt gestraft v</w:t>
      </w:r>
      <w:r w:rsidRPr="00E700C4">
        <w:rPr>
          <w:lang w:val="nl-NL"/>
        </w:rPr>
        <w:t xml:space="preserve">oor hun gebrek aan gastvrijheid), </w:t>
      </w:r>
      <w:r>
        <w:rPr>
          <w:lang w:val="nl-NL"/>
        </w:rPr>
        <w:t xml:space="preserve">en/of </w:t>
      </w:r>
      <w:r w:rsidRPr="00E700C4">
        <w:rPr>
          <w:lang w:val="nl-NL"/>
        </w:rPr>
        <w:t xml:space="preserve">op </w:t>
      </w:r>
      <w:r>
        <w:rPr>
          <w:lang w:val="nl-NL"/>
        </w:rPr>
        <w:t xml:space="preserve">de </w:t>
      </w:r>
      <w:r w:rsidRPr="00E700C4">
        <w:rPr>
          <w:lang w:val="nl-NL"/>
        </w:rPr>
        <w:t xml:space="preserve">verkrachting (het </w:t>
      </w:r>
      <w:r>
        <w:rPr>
          <w:lang w:val="nl-NL"/>
        </w:rPr>
        <w:t xml:space="preserve">verhaal </w:t>
      </w:r>
      <w:r w:rsidRPr="00E700C4">
        <w:rPr>
          <w:lang w:val="nl-NL"/>
        </w:rPr>
        <w:t>gaat niet om consensuele seksuele relatie</w:t>
      </w:r>
      <w:r>
        <w:rPr>
          <w:lang w:val="nl-NL"/>
        </w:rPr>
        <w:t>s</w:t>
      </w:r>
      <w:r w:rsidRPr="00E700C4">
        <w:rPr>
          <w:lang w:val="nl-NL"/>
        </w:rPr>
        <w:t xml:space="preserve">, maar </w:t>
      </w:r>
      <w:r w:rsidR="00BF4BF7">
        <w:rPr>
          <w:lang w:val="nl-NL"/>
        </w:rPr>
        <w:t xml:space="preserve">om </w:t>
      </w:r>
      <w:r w:rsidRPr="00E700C4">
        <w:rPr>
          <w:lang w:val="nl-NL"/>
        </w:rPr>
        <w:t>verk</w:t>
      </w:r>
      <w:r>
        <w:rPr>
          <w:lang w:val="nl-NL"/>
        </w:rPr>
        <w:t>r</w:t>
      </w:r>
      <w:r w:rsidRPr="00E700C4">
        <w:rPr>
          <w:lang w:val="nl-NL"/>
        </w:rPr>
        <w:t xml:space="preserve">achting). </w:t>
      </w:r>
    </w:p>
    <w:p w:rsidR="00F66DDD" w:rsidRPr="00B43FAC" w:rsidRDefault="00F66DDD" w:rsidP="00DA0FF4">
      <w:pPr>
        <w:pStyle w:val="Paragraphedeliste"/>
        <w:numPr>
          <w:ilvl w:val="0"/>
          <w:numId w:val="1"/>
        </w:numPr>
        <w:jc w:val="both"/>
        <w:rPr>
          <w:lang w:val="nl-NL"/>
        </w:rPr>
      </w:pPr>
      <w:r>
        <w:rPr>
          <w:lang w:val="nl-NL"/>
        </w:rPr>
        <w:t>Een alternatieve lezing waarbij homo-erotiek en niet-</w:t>
      </w:r>
      <w:proofErr w:type="spellStart"/>
      <w:r>
        <w:rPr>
          <w:lang w:val="nl-NL"/>
        </w:rPr>
        <w:t>heteronormatieve</w:t>
      </w:r>
      <w:proofErr w:type="spellEnd"/>
      <w:r>
        <w:rPr>
          <w:lang w:val="nl-NL"/>
        </w:rPr>
        <w:t xml:space="preserve"> relaties binnen de geschriften zichtbaar gemaakt</w:t>
      </w:r>
      <w:r w:rsidR="00BF4BF7">
        <w:rPr>
          <w:lang w:val="nl-NL"/>
        </w:rPr>
        <w:t xml:space="preserve"> worden</w:t>
      </w:r>
      <w:r>
        <w:rPr>
          <w:lang w:val="nl-NL"/>
        </w:rPr>
        <w:t xml:space="preserve">, zoals bijvoorbeeld de intense </w:t>
      </w:r>
      <w:r>
        <w:rPr>
          <w:lang w:val="nl-NL"/>
        </w:rPr>
        <w:lastRenderedPageBreak/>
        <w:t xml:space="preserve">relatie tussen David en Jonathan </w:t>
      </w:r>
      <w:r w:rsidRPr="00AC6CE6">
        <w:rPr>
          <w:lang w:val="nl-NL"/>
        </w:rPr>
        <w:t>(“Ik ben benauwd om uwentwil, mijn broeder Jonathan! Gij waart mij zeer liefelijk; uw liefde was mij wonderlijker dan liefde de</w:t>
      </w:r>
      <w:r>
        <w:rPr>
          <w:lang w:val="nl-NL"/>
        </w:rPr>
        <w:t xml:space="preserve">r vrouwen.”  2 Samuel 1:26), of de relatie tussen </w:t>
      </w:r>
      <w:r w:rsidRPr="00AC6CE6">
        <w:rPr>
          <w:lang w:val="nl-NL"/>
        </w:rPr>
        <w:t>Ruth en Naomi.</w:t>
      </w:r>
      <w:r w:rsidR="0079249C">
        <w:rPr>
          <w:rStyle w:val="Appelnotedebasdep"/>
          <w:lang w:val="nl-NL"/>
        </w:rPr>
        <w:footnoteReference w:id="6"/>
      </w:r>
      <w:r w:rsidRPr="00AC6CE6">
        <w:rPr>
          <w:lang w:val="nl-NL"/>
        </w:rPr>
        <w:t xml:space="preserve"> </w:t>
      </w:r>
    </w:p>
    <w:p w:rsidR="00F66DDD" w:rsidRDefault="00F66DDD" w:rsidP="00DA0FF4">
      <w:pPr>
        <w:jc w:val="both"/>
        <w:rPr>
          <w:lang w:val="nl-NL"/>
        </w:rPr>
      </w:pPr>
    </w:p>
    <w:p w:rsidR="00F66DDD" w:rsidRDefault="00F66DDD" w:rsidP="00DA0FF4">
      <w:pPr>
        <w:jc w:val="both"/>
        <w:rPr>
          <w:lang w:val="nl-NL"/>
        </w:rPr>
      </w:pPr>
      <w:r>
        <w:rPr>
          <w:lang w:val="nl-NL"/>
        </w:rPr>
        <w:t xml:space="preserve">Er valt uiteraard over al deze punten </w:t>
      </w:r>
      <w:r w:rsidR="00274643">
        <w:rPr>
          <w:lang w:val="nl-NL"/>
        </w:rPr>
        <w:t xml:space="preserve">die ik hier kort aanhaal </w:t>
      </w:r>
      <w:r>
        <w:rPr>
          <w:lang w:val="nl-NL"/>
        </w:rPr>
        <w:t>veel m</w:t>
      </w:r>
      <w:r w:rsidR="00274643">
        <w:rPr>
          <w:lang w:val="nl-NL"/>
        </w:rPr>
        <w:t xml:space="preserve">eer te zeggen, en vele hiervan zijn effectief elders meer uitgebreid besproken. Het is mijn hoop dat door deze punten hier op een rijtje te zetten, we alvast kunnen beginnen met het debat over  </w:t>
      </w:r>
      <w:r>
        <w:rPr>
          <w:lang w:val="nl-NL"/>
        </w:rPr>
        <w:t xml:space="preserve">religie en seksuele geaardheid voorbij het kader van de vermeende tegenstrijdigheid </w:t>
      </w:r>
      <w:r w:rsidR="00274643">
        <w:rPr>
          <w:lang w:val="nl-NL"/>
        </w:rPr>
        <w:t xml:space="preserve">te </w:t>
      </w:r>
      <w:r>
        <w:rPr>
          <w:lang w:val="nl-NL"/>
        </w:rPr>
        <w:t>tillen</w:t>
      </w:r>
      <w:r w:rsidR="00274643">
        <w:rPr>
          <w:lang w:val="nl-NL"/>
        </w:rPr>
        <w:t xml:space="preserve">. En dat we ook snel verder kunnen gaan dan de “apologetische erkenning”, om even op </w:t>
      </w:r>
      <w:proofErr w:type="spellStart"/>
      <w:r w:rsidR="00274643">
        <w:rPr>
          <w:lang w:val="nl-NL"/>
        </w:rPr>
        <w:t>Cheng’s</w:t>
      </w:r>
      <w:proofErr w:type="spellEnd"/>
      <w:r w:rsidR="00274643">
        <w:rPr>
          <w:lang w:val="nl-NL"/>
        </w:rPr>
        <w:t xml:space="preserve"> begrippenapparaat beroep te doen, dat </w:t>
      </w:r>
      <w:proofErr w:type="spellStart"/>
      <w:r w:rsidR="00274643" w:rsidRPr="00D176DE">
        <w:rPr>
          <w:i/>
          <w:lang w:val="nl-NL"/>
        </w:rPr>
        <w:t>queer</w:t>
      </w:r>
      <w:proofErr w:type="spellEnd"/>
      <w:r w:rsidR="00274643">
        <w:rPr>
          <w:lang w:val="nl-NL"/>
        </w:rPr>
        <w:t xml:space="preserve"> gelovigen bestaan. Het is immers </w:t>
      </w:r>
      <w:r>
        <w:rPr>
          <w:lang w:val="nl-NL"/>
        </w:rPr>
        <w:t xml:space="preserve">mijn overtuiging dat </w:t>
      </w:r>
      <w:r w:rsidR="00274643">
        <w:rPr>
          <w:lang w:val="nl-NL"/>
        </w:rPr>
        <w:t>het deconstrueren van dat kader van vermeende tegenstrijdigheid</w:t>
      </w:r>
      <w:r>
        <w:rPr>
          <w:lang w:val="nl-NL"/>
        </w:rPr>
        <w:t xml:space="preserve"> een betere garantie is om de strijd van </w:t>
      </w:r>
      <w:proofErr w:type="spellStart"/>
      <w:r w:rsidRPr="00D176DE">
        <w:rPr>
          <w:i/>
          <w:lang w:val="nl-NL"/>
        </w:rPr>
        <w:t>queer</w:t>
      </w:r>
      <w:proofErr w:type="spellEnd"/>
      <w:r>
        <w:rPr>
          <w:lang w:val="nl-NL"/>
        </w:rPr>
        <w:t xml:space="preserve"> gelovigen te ondersteunen en cultuurveranderingen binnen de religieuze tradities </w:t>
      </w:r>
      <w:r w:rsidR="00274643">
        <w:rPr>
          <w:lang w:val="nl-NL"/>
        </w:rPr>
        <w:t>te bewerkstelligen, alsook om</w:t>
      </w:r>
      <w:r>
        <w:rPr>
          <w:lang w:val="nl-NL"/>
        </w:rPr>
        <w:t xml:space="preserve"> </w:t>
      </w:r>
      <w:r w:rsidR="00274643">
        <w:rPr>
          <w:lang w:val="nl-NL"/>
        </w:rPr>
        <w:t>LGBT</w:t>
      </w:r>
      <w:r w:rsidR="00BF4BF7">
        <w:rPr>
          <w:lang w:val="nl-NL"/>
        </w:rPr>
        <w:t>-</w:t>
      </w:r>
      <w:r>
        <w:rPr>
          <w:lang w:val="nl-NL"/>
        </w:rPr>
        <w:t xml:space="preserve">bewegingen en beleid inclusiever te maken. </w:t>
      </w:r>
    </w:p>
    <w:p w:rsidR="00F66DDD" w:rsidRPr="00B43FAC" w:rsidRDefault="00F66DDD" w:rsidP="00DA0FF4">
      <w:pPr>
        <w:jc w:val="both"/>
        <w:rPr>
          <w:lang w:val="nl-NL"/>
        </w:rPr>
      </w:pPr>
    </w:p>
    <w:p w:rsidR="00F66DDD" w:rsidRPr="00F77B86" w:rsidRDefault="00F66DDD" w:rsidP="00DA0FF4">
      <w:pPr>
        <w:rPr>
          <w:lang w:val="nl-BE"/>
        </w:rPr>
      </w:pPr>
    </w:p>
    <w:sectPr w:rsidR="00F66DDD" w:rsidRPr="00F77B86" w:rsidSect="00F66DDD">
      <w:headerReference w:type="default" r:id="rId8"/>
      <w:footerReference w:type="even" r:id="rId9"/>
      <w:footerReference w:type="default" r:id="rId10"/>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E22" w:rsidRDefault="00840E22">
      <w:r>
        <w:separator/>
      </w:r>
    </w:p>
  </w:endnote>
  <w:endnote w:type="continuationSeparator" w:id="0">
    <w:p w:rsidR="00840E22" w:rsidRDefault="0084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49C" w:rsidRDefault="0079249C" w:rsidP="00F66DD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9249C" w:rsidRDefault="0079249C" w:rsidP="00F66DD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49C" w:rsidRDefault="0079249C" w:rsidP="00F66DD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73694">
      <w:rPr>
        <w:rStyle w:val="Numrodepage"/>
        <w:noProof/>
      </w:rPr>
      <w:t>1</w:t>
    </w:r>
    <w:r>
      <w:rPr>
        <w:rStyle w:val="Numrodepage"/>
      </w:rPr>
      <w:fldChar w:fldCharType="end"/>
    </w:r>
  </w:p>
  <w:p w:rsidR="0079249C" w:rsidRDefault="0079249C" w:rsidP="00F66DD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E22" w:rsidRDefault="00840E22">
      <w:r>
        <w:separator/>
      </w:r>
    </w:p>
  </w:footnote>
  <w:footnote w:type="continuationSeparator" w:id="0">
    <w:p w:rsidR="00840E22" w:rsidRDefault="00840E22">
      <w:r>
        <w:continuationSeparator/>
      </w:r>
    </w:p>
  </w:footnote>
  <w:footnote w:id="1">
    <w:p w:rsidR="0079249C" w:rsidRPr="00F77B86" w:rsidRDefault="0079249C">
      <w:pPr>
        <w:pStyle w:val="Notedebasdepage"/>
      </w:pPr>
      <w:r w:rsidRPr="00B13530">
        <w:rPr>
          <w:rStyle w:val="Appelnotedebasdep"/>
          <w:lang w:val="nl-NL"/>
        </w:rPr>
        <w:footnoteRef/>
      </w:r>
      <w:r w:rsidRPr="00F77B86">
        <w:t xml:space="preserve"> </w:t>
      </w:r>
      <w:proofErr w:type="spellStart"/>
      <w:r w:rsidRPr="00F77B86">
        <w:rPr>
          <w:sz w:val="20"/>
        </w:rPr>
        <w:t>Een</w:t>
      </w:r>
      <w:proofErr w:type="spellEnd"/>
      <w:r w:rsidRPr="00F77B86">
        <w:rPr>
          <w:sz w:val="20"/>
        </w:rPr>
        <w:t xml:space="preserve"> </w:t>
      </w:r>
      <w:proofErr w:type="spellStart"/>
      <w:r w:rsidRPr="00F77B86">
        <w:rPr>
          <w:sz w:val="20"/>
        </w:rPr>
        <w:t>paar</w:t>
      </w:r>
      <w:proofErr w:type="spellEnd"/>
      <w:r w:rsidRPr="00F77B86">
        <w:rPr>
          <w:sz w:val="20"/>
        </w:rPr>
        <w:t xml:space="preserve"> </w:t>
      </w:r>
      <w:proofErr w:type="spellStart"/>
      <w:r w:rsidRPr="00F77B86">
        <w:rPr>
          <w:sz w:val="20"/>
        </w:rPr>
        <w:t>referenties</w:t>
      </w:r>
      <w:proofErr w:type="spellEnd"/>
      <w:r w:rsidRPr="00F77B86">
        <w:rPr>
          <w:sz w:val="20"/>
        </w:rPr>
        <w:t xml:space="preserve"> </w:t>
      </w:r>
      <w:proofErr w:type="spellStart"/>
      <w:r w:rsidRPr="00F77B86">
        <w:rPr>
          <w:sz w:val="20"/>
        </w:rPr>
        <w:t>uit</w:t>
      </w:r>
      <w:proofErr w:type="spellEnd"/>
      <w:r w:rsidRPr="00F77B86">
        <w:rPr>
          <w:sz w:val="20"/>
        </w:rPr>
        <w:t xml:space="preserve"> </w:t>
      </w:r>
      <w:proofErr w:type="spellStart"/>
      <w:r w:rsidRPr="00F77B86">
        <w:rPr>
          <w:sz w:val="20"/>
        </w:rPr>
        <w:t>een</w:t>
      </w:r>
      <w:proofErr w:type="spellEnd"/>
      <w:r w:rsidRPr="00F77B86">
        <w:rPr>
          <w:sz w:val="20"/>
        </w:rPr>
        <w:t xml:space="preserve"> </w:t>
      </w:r>
      <w:proofErr w:type="spellStart"/>
      <w:r w:rsidRPr="00F77B86">
        <w:rPr>
          <w:sz w:val="20"/>
        </w:rPr>
        <w:t>bredere</w:t>
      </w:r>
      <w:proofErr w:type="spellEnd"/>
      <w:r w:rsidRPr="00F77B86">
        <w:rPr>
          <w:sz w:val="20"/>
        </w:rPr>
        <w:t xml:space="preserve"> </w:t>
      </w:r>
      <w:proofErr w:type="spellStart"/>
      <w:r w:rsidRPr="00F77B86">
        <w:rPr>
          <w:sz w:val="20"/>
        </w:rPr>
        <w:t>literatuur</w:t>
      </w:r>
      <w:proofErr w:type="spellEnd"/>
      <w:r w:rsidRPr="00F77B86">
        <w:rPr>
          <w:sz w:val="20"/>
        </w:rPr>
        <w:t xml:space="preserve"> over </w:t>
      </w:r>
      <w:proofErr w:type="spellStart"/>
      <w:r w:rsidRPr="00F77B86">
        <w:rPr>
          <w:sz w:val="20"/>
        </w:rPr>
        <w:t>dit</w:t>
      </w:r>
      <w:proofErr w:type="spellEnd"/>
      <w:r w:rsidRPr="00F77B86">
        <w:rPr>
          <w:sz w:val="20"/>
        </w:rPr>
        <w:t xml:space="preserve"> </w:t>
      </w:r>
      <w:proofErr w:type="spellStart"/>
      <w:r w:rsidRPr="00F77B86">
        <w:rPr>
          <w:sz w:val="20"/>
        </w:rPr>
        <w:t>thema</w:t>
      </w:r>
      <w:proofErr w:type="spellEnd"/>
      <w:r w:rsidRPr="00F77B86">
        <w:rPr>
          <w:sz w:val="20"/>
        </w:rPr>
        <w:t xml:space="preserve">: Rebecca Alpert, </w:t>
      </w:r>
      <w:r w:rsidRPr="00F77B86">
        <w:rPr>
          <w:i/>
          <w:sz w:val="20"/>
        </w:rPr>
        <w:t xml:space="preserve">Like Bread on the Seder Plate: Jewish Lesbians and the Transformation of Tradition </w:t>
      </w:r>
      <w:r w:rsidRPr="00F77B86">
        <w:rPr>
          <w:sz w:val="20"/>
        </w:rPr>
        <w:t xml:space="preserve">(New York: Columbia University Press, 1998); Patrick Cheng, </w:t>
      </w:r>
      <w:r w:rsidRPr="00F77B86">
        <w:rPr>
          <w:i/>
          <w:sz w:val="20"/>
        </w:rPr>
        <w:t>Radical Love: Introduction to Queer Theology</w:t>
      </w:r>
      <w:r w:rsidRPr="00F77B86">
        <w:rPr>
          <w:sz w:val="20"/>
        </w:rPr>
        <w:t xml:space="preserve"> (Seabury Books, 2011); Scott </w:t>
      </w:r>
      <w:proofErr w:type="spellStart"/>
      <w:r w:rsidRPr="00F77B86">
        <w:rPr>
          <w:sz w:val="20"/>
        </w:rPr>
        <w:t>Siraj</w:t>
      </w:r>
      <w:proofErr w:type="spellEnd"/>
      <w:r w:rsidRPr="00F77B86">
        <w:rPr>
          <w:sz w:val="20"/>
        </w:rPr>
        <w:t xml:space="preserve"> al-</w:t>
      </w:r>
      <w:proofErr w:type="spellStart"/>
      <w:r w:rsidRPr="00F77B86">
        <w:rPr>
          <w:sz w:val="20"/>
        </w:rPr>
        <w:t>Haqq</w:t>
      </w:r>
      <w:proofErr w:type="spellEnd"/>
      <w:r w:rsidRPr="00F77B86">
        <w:rPr>
          <w:sz w:val="20"/>
        </w:rPr>
        <w:t xml:space="preserve"> </w:t>
      </w:r>
      <w:proofErr w:type="spellStart"/>
      <w:r w:rsidRPr="00F77B86">
        <w:rPr>
          <w:sz w:val="20"/>
        </w:rPr>
        <w:t>Kugle</w:t>
      </w:r>
      <w:proofErr w:type="spellEnd"/>
      <w:r w:rsidRPr="00F77B86">
        <w:rPr>
          <w:sz w:val="20"/>
        </w:rPr>
        <w:t xml:space="preserve">, </w:t>
      </w:r>
      <w:r w:rsidRPr="00F77B86">
        <w:rPr>
          <w:i/>
          <w:sz w:val="20"/>
        </w:rPr>
        <w:t>Homosexuality in Islam: Critical Reflection on Gay, Lesbian, and Transgender Muslims</w:t>
      </w:r>
      <w:r w:rsidRPr="00F77B86">
        <w:rPr>
          <w:sz w:val="20"/>
        </w:rPr>
        <w:t xml:space="preserve"> (</w:t>
      </w:r>
      <w:proofErr w:type="spellStart"/>
      <w:r w:rsidRPr="00F77B86">
        <w:rPr>
          <w:sz w:val="20"/>
        </w:rPr>
        <w:t>Oneworld</w:t>
      </w:r>
      <w:proofErr w:type="spellEnd"/>
      <w:r w:rsidRPr="00F77B86">
        <w:rPr>
          <w:sz w:val="20"/>
        </w:rPr>
        <w:t xml:space="preserve"> Publication, 2010); </w:t>
      </w:r>
      <w:proofErr w:type="spellStart"/>
      <w:r w:rsidRPr="00F77B86">
        <w:rPr>
          <w:sz w:val="20"/>
        </w:rPr>
        <w:t>en</w:t>
      </w:r>
      <w:proofErr w:type="spellEnd"/>
      <w:r w:rsidRPr="00F77B86">
        <w:rPr>
          <w:sz w:val="20"/>
        </w:rPr>
        <w:t xml:space="preserve"> Kathleen T. </w:t>
      </w:r>
      <w:proofErr w:type="spellStart"/>
      <w:r w:rsidRPr="00F77B86">
        <w:rPr>
          <w:sz w:val="20"/>
        </w:rPr>
        <w:t>Talvacchia</w:t>
      </w:r>
      <w:proofErr w:type="spellEnd"/>
      <w:r w:rsidRPr="00F77B86">
        <w:rPr>
          <w:sz w:val="20"/>
        </w:rPr>
        <w:t xml:space="preserve">, Michael F. </w:t>
      </w:r>
      <w:proofErr w:type="spellStart"/>
      <w:r w:rsidRPr="00F77B86">
        <w:rPr>
          <w:sz w:val="20"/>
        </w:rPr>
        <w:t>Pettinger</w:t>
      </w:r>
      <w:proofErr w:type="spellEnd"/>
      <w:r w:rsidRPr="00F77B86">
        <w:rPr>
          <w:sz w:val="20"/>
        </w:rPr>
        <w:t xml:space="preserve"> &amp; Mark </w:t>
      </w:r>
      <w:proofErr w:type="spellStart"/>
      <w:r w:rsidRPr="00F77B86">
        <w:rPr>
          <w:sz w:val="20"/>
        </w:rPr>
        <w:t>Larrimore</w:t>
      </w:r>
      <w:proofErr w:type="spellEnd"/>
      <w:r w:rsidRPr="00F77B86">
        <w:rPr>
          <w:sz w:val="20"/>
        </w:rPr>
        <w:t xml:space="preserve">, </w:t>
      </w:r>
      <w:r w:rsidRPr="00F77B86">
        <w:rPr>
          <w:i/>
          <w:sz w:val="20"/>
        </w:rPr>
        <w:t xml:space="preserve">Queer </w:t>
      </w:r>
      <w:proofErr w:type="spellStart"/>
      <w:r w:rsidRPr="00F77B86">
        <w:rPr>
          <w:i/>
          <w:sz w:val="20"/>
        </w:rPr>
        <w:t>Christianities</w:t>
      </w:r>
      <w:proofErr w:type="spellEnd"/>
      <w:r w:rsidRPr="00F77B86">
        <w:rPr>
          <w:i/>
          <w:sz w:val="20"/>
        </w:rPr>
        <w:t xml:space="preserve">: Lived Religion in Transgressive Forms </w:t>
      </w:r>
      <w:r w:rsidRPr="00F77B86">
        <w:rPr>
          <w:sz w:val="20"/>
        </w:rPr>
        <w:t>(New York: New York University Press, 2015).</w:t>
      </w:r>
    </w:p>
  </w:footnote>
  <w:footnote w:id="2">
    <w:p w:rsidR="0079249C" w:rsidRDefault="0079249C">
      <w:pPr>
        <w:pStyle w:val="Notedebasdepage"/>
      </w:pPr>
      <w:r>
        <w:rPr>
          <w:rStyle w:val="Appelnotedebasdep"/>
        </w:rPr>
        <w:footnoteRef/>
      </w:r>
      <w:r>
        <w:t xml:space="preserve"> </w:t>
      </w:r>
      <w:r w:rsidRPr="0079249C">
        <w:rPr>
          <w:sz w:val="20"/>
        </w:rPr>
        <w:t xml:space="preserve">Mark Jordan is </w:t>
      </w:r>
      <w:proofErr w:type="spellStart"/>
      <w:r w:rsidRPr="0079249C">
        <w:rPr>
          <w:sz w:val="20"/>
        </w:rPr>
        <w:t>onder</w:t>
      </w:r>
      <w:proofErr w:type="spellEnd"/>
      <w:r w:rsidRPr="0079249C">
        <w:rPr>
          <w:sz w:val="20"/>
        </w:rPr>
        <w:t xml:space="preserve"> </w:t>
      </w:r>
      <w:proofErr w:type="spellStart"/>
      <w:r w:rsidRPr="0079249C">
        <w:rPr>
          <w:sz w:val="20"/>
        </w:rPr>
        <w:t>meer</w:t>
      </w:r>
      <w:proofErr w:type="spellEnd"/>
      <w:r w:rsidRPr="0079249C">
        <w:rPr>
          <w:sz w:val="20"/>
        </w:rPr>
        <w:t xml:space="preserve"> auteur van: </w:t>
      </w:r>
      <w:r w:rsidRPr="0079249C">
        <w:rPr>
          <w:i/>
          <w:sz w:val="20"/>
        </w:rPr>
        <w:t>The Invention of Sodomy in Christian Theology</w:t>
      </w:r>
      <w:r w:rsidRPr="0079249C">
        <w:rPr>
          <w:sz w:val="20"/>
        </w:rPr>
        <w:t xml:space="preserve"> (Chicago: University of Chicago Press, 1997), </w:t>
      </w:r>
      <w:r w:rsidRPr="0079249C">
        <w:rPr>
          <w:i/>
          <w:sz w:val="20"/>
        </w:rPr>
        <w:t>The Silence of Sodom: Homosexuality in Modern Catholicism</w:t>
      </w:r>
      <w:r w:rsidRPr="0079249C">
        <w:rPr>
          <w:sz w:val="20"/>
        </w:rPr>
        <w:t xml:space="preserve"> (Chicago: University of Chicago Press, 2002) en </w:t>
      </w:r>
      <w:r w:rsidRPr="0079249C">
        <w:rPr>
          <w:i/>
          <w:sz w:val="20"/>
        </w:rPr>
        <w:t>Recruiting Young Love: How Christians Talk about Homosexuality</w:t>
      </w:r>
      <w:r w:rsidRPr="0079249C">
        <w:rPr>
          <w:sz w:val="20"/>
        </w:rPr>
        <w:t xml:space="preserve"> (Chicago: University of Chicago Press, 2011).</w:t>
      </w:r>
    </w:p>
  </w:footnote>
  <w:footnote w:id="3">
    <w:p w:rsidR="0079249C" w:rsidRDefault="0079249C">
      <w:pPr>
        <w:pStyle w:val="Notedebasdepage"/>
      </w:pPr>
      <w:r>
        <w:rPr>
          <w:rStyle w:val="Appelnotedebasdep"/>
        </w:rPr>
        <w:footnoteRef/>
      </w:r>
      <w:r>
        <w:t xml:space="preserve"> </w:t>
      </w:r>
      <w:proofErr w:type="spellStart"/>
      <w:r w:rsidRPr="00EC48AC">
        <w:rPr>
          <w:sz w:val="20"/>
        </w:rPr>
        <w:t>Jasbir</w:t>
      </w:r>
      <w:proofErr w:type="spellEnd"/>
      <w:r w:rsidRPr="00EC48AC">
        <w:rPr>
          <w:sz w:val="20"/>
        </w:rPr>
        <w:t xml:space="preserve"> K. </w:t>
      </w:r>
      <w:proofErr w:type="spellStart"/>
      <w:r w:rsidRPr="00EC48AC">
        <w:rPr>
          <w:sz w:val="20"/>
        </w:rPr>
        <w:t>Puar</w:t>
      </w:r>
      <w:proofErr w:type="spellEnd"/>
      <w:r w:rsidRPr="00EC48AC">
        <w:rPr>
          <w:sz w:val="20"/>
        </w:rPr>
        <w:t xml:space="preserve">, </w:t>
      </w:r>
      <w:r w:rsidRPr="00EC48AC">
        <w:rPr>
          <w:i/>
          <w:sz w:val="20"/>
        </w:rPr>
        <w:t xml:space="preserve">Terrorist Assemblages: </w:t>
      </w:r>
      <w:proofErr w:type="spellStart"/>
      <w:r w:rsidRPr="00EC48AC">
        <w:rPr>
          <w:i/>
          <w:sz w:val="20"/>
        </w:rPr>
        <w:t>Homonationalism</w:t>
      </w:r>
      <w:proofErr w:type="spellEnd"/>
      <w:r w:rsidRPr="00EC48AC">
        <w:rPr>
          <w:i/>
          <w:sz w:val="20"/>
        </w:rPr>
        <w:t xml:space="preserve"> in Queer Times</w:t>
      </w:r>
      <w:r w:rsidRPr="00EC48AC">
        <w:rPr>
          <w:sz w:val="20"/>
        </w:rPr>
        <w:t xml:space="preserve"> (Durham: Duke University Press, 2007), </w:t>
      </w:r>
      <w:proofErr w:type="spellStart"/>
      <w:r w:rsidRPr="00EC48AC">
        <w:rPr>
          <w:sz w:val="20"/>
        </w:rPr>
        <w:t>zie</w:t>
      </w:r>
      <w:proofErr w:type="spellEnd"/>
      <w:r w:rsidRPr="00EC48AC">
        <w:rPr>
          <w:sz w:val="20"/>
        </w:rPr>
        <w:t xml:space="preserve"> </w:t>
      </w:r>
      <w:proofErr w:type="spellStart"/>
      <w:r w:rsidRPr="00EC48AC">
        <w:rPr>
          <w:sz w:val="20"/>
        </w:rPr>
        <w:t>ook</w:t>
      </w:r>
      <w:proofErr w:type="spellEnd"/>
      <w:r w:rsidRPr="00EC48AC">
        <w:rPr>
          <w:sz w:val="20"/>
        </w:rPr>
        <w:t xml:space="preserve"> </w:t>
      </w:r>
      <w:proofErr w:type="spellStart"/>
      <w:r w:rsidRPr="00EC48AC">
        <w:rPr>
          <w:sz w:val="20"/>
        </w:rPr>
        <w:t>mijn</w:t>
      </w:r>
      <w:proofErr w:type="spellEnd"/>
      <w:r w:rsidRPr="00EC48AC">
        <w:rPr>
          <w:sz w:val="20"/>
        </w:rPr>
        <w:t xml:space="preserve"> </w:t>
      </w:r>
      <w:proofErr w:type="spellStart"/>
      <w:r w:rsidRPr="00EC48AC">
        <w:rPr>
          <w:sz w:val="20"/>
        </w:rPr>
        <w:t>documentaire</w:t>
      </w:r>
      <w:proofErr w:type="spellEnd"/>
      <w:r w:rsidRPr="00EC48AC">
        <w:rPr>
          <w:sz w:val="20"/>
        </w:rPr>
        <w:t xml:space="preserve"> </w:t>
      </w:r>
      <w:r w:rsidRPr="00EC48AC">
        <w:rPr>
          <w:i/>
          <w:sz w:val="20"/>
        </w:rPr>
        <w:t>Pink Camouflage</w:t>
      </w:r>
      <w:r w:rsidRPr="00EC48AC">
        <w:rPr>
          <w:sz w:val="20"/>
        </w:rPr>
        <w:t xml:space="preserve"> (2009).</w:t>
      </w:r>
    </w:p>
  </w:footnote>
  <w:footnote w:id="4">
    <w:p w:rsidR="0079249C" w:rsidRDefault="0079249C">
      <w:pPr>
        <w:pStyle w:val="Notedebasdepage"/>
      </w:pPr>
      <w:r>
        <w:rPr>
          <w:rStyle w:val="Appelnotedebasdep"/>
        </w:rPr>
        <w:footnoteRef/>
      </w:r>
      <w:r>
        <w:t xml:space="preserve"> </w:t>
      </w:r>
      <w:proofErr w:type="spellStart"/>
      <w:r w:rsidRPr="0079249C">
        <w:rPr>
          <w:sz w:val="20"/>
        </w:rPr>
        <w:t>Zie</w:t>
      </w:r>
      <w:proofErr w:type="spellEnd"/>
      <w:r w:rsidRPr="0079249C">
        <w:rPr>
          <w:sz w:val="20"/>
        </w:rPr>
        <w:t xml:space="preserve"> </w:t>
      </w:r>
      <w:proofErr w:type="spellStart"/>
      <w:r w:rsidRPr="0079249C">
        <w:rPr>
          <w:sz w:val="20"/>
        </w:rPr>
        <w:t>ondermeer</w:t>
      </w:r>
      <w:proofErr w:type="spellEnd"/>
      <w:r w:rsidRPr="0079249C">
        <w:rPr>
          <w:sz w:val="20"/>
        </w:rPr>
        <w:t xml:space="preserve"> </w:t>
      </w:r>
      <w:proofErr w:type="spellStart"/>
      <w:r w:rsidRPr="0079249C">
        <w:rPr>
          <w:sz w:val="20"/>
        </w:rPr>
        <w:t>Nira</w:t>
      </w:r>
      <w:proofErr w:type="spellEnd"/>
      <w:r w:rsidRPr="0079249C">
        <w:rPr>
          <w:sz w:val="20"/>
        </w:rPr>
        <w:t xml:space="preserve"> Yuval-Davis, </w:t>
      </w:r>
      <w:r w:rsidRPr="0079249C">
        <w:rPr>
          <w:i/>
          <w:sz w:val="20"/>
        </w:rPr>
        <w:t>Gender and Nation</w:t>
      </w:r>
      <w:r w:rsidRPr="0079249C">
        <w:rPr>
          <w:sz w:val="20"/>
        </w:rPr>
        <w:t xml:space="preserve"> (London: Sage, 1997).</w:t>
      </w:r>
    </w:p>
  </w:footnote>
  <w:footnote w:id="5">
    <w:p w:rsidR="0079249C" w:rsidRPr="00F77B86" w:rsidRDefault="0079249C">
      <w:pPr>
        <w:pStyle w:val="Notedebasdepage"/>
        <w:rPr>
          <w:lang w:val="nl-BE"/>
        </w:rPr>
      </w:pPr>
      <w:r>
        <w:rPr>
          <w:rStyle w:val="Appelnotedebasdep"/>
        </w:rPr>
        <w:footnoteRef/>
      </w:r>
      <w:r w:rsidRPr="00F77B86">
        <w:rPr>
          <w:lang w:val="nl-BE"/>
        </w:rPr>
        <w:t xml:space="preserve"> </w:t>
      </w:r>
      <w:r w:rsidRPr="0079249C">
        <w:rPr>
          <w:sz w:val="20"/>
          <w:lang w:val="nl-NL"/>
        </w:rPr>
        <w:t xml:space="preserve">Een dankbaar aanknopingspunt voor dit soort theologie binnen de </w:t>
      </w:r>
      <w:r w:rsidR="00BF4BF7">
        <w:rPr>
          <w:sz w:val="20"/>
          <w:lang w:val="nl-NL"/>
        </w:rPr>
        <w:t>i</w:t>
      </w:r>
      <w:r w:rsidRPr="0079249C">
        <w:rPr>
          <w:sz w:val="20"/>
          <w:lang w:val="nl-NL"/>
        </w:rPr>
        <w:t xml:space="preserve">slamitische traditie zijn de </w:t>
      </w:r>
      <w:proofErr w:type="spellStart"/>
      <w:r w:rsidRPr="0079249C">
        <w:rPr>
          <w:i/>
          <w:sz w:val="20"/>
          <w:lang w:val="nl-NL"/>
        </w:rPr>
        <w:t>mukhannathoun</w:t>
      </w:r>
      <w:proofErr w:type="spellEnd"/>
      <w:r w:rsidRPr="0079249C">
        <w:rPr>
          <w:sz w:val="20"/>
          <w:lang w:val="nl-NL"/>
        </w:rPr>
        <w:t>, of zogenaamde vrouwelijke mannen, en hun vermelding en rol in de Koran.</w:t>
      </w:r>
    </w:p>
  </w:footnote>
  <w:footnote w:id="6">
    <w:p w:rsidR="0079249C" w:rsidRDefault="0079249C">
      <w:pPr>
        <w:pStyle w:val="Notedebasdepage"/>
      </w:pPr>
      <w:r>
        <w:rPr>
          <w:rStyle w:val="Appelnotedebasdep"/>
        </w:rPr>
        <w:footnoteRef/>
      </w:r>
      <w:r>
        <w:t xml:space="preserve"> </w:t>
      </w:r>
      <w:proofErr w:type="spellStart"/>
      <w:r w:rsidRPr="0079249C">
        <w:rPr>
          <w:sz w:val="20"/>
        </w:rPr>
        <w:t>Zie</w:t>
      </w:r>
      <w:proofErr w:type="spellEnd"/>
      <w:r w:rsidRPr="0079249C">
        <w:rPr>
          <w:sz w:val="20"/>
        </w:rPr>
        <w:t xml:space="preserve"> </w:t>
      </w:r>
      <w:r w:rsidRPr="00F77B86">
        <w:rPr>
          <w:sz w:val="20"/>
        </w:rPr>
        <w:t xml:space="preserve">Rebecca Alpert, </w:t>
      </w:r>
      <w:r w:rsidRPr="00F77B86">
        <w:rPr>
          <w:i/>
          <w:sz w:val="20"/>
        </w:rPr>
        <w:t xml:space="preserve">Like Bread on the Seder Plate: Jewish Lesbians and the Transformation of Tradition </w:t>
      </w:r>
      <w:r w:rsidRPr="00F77B86">
        <w:rPr>
          <w:sz w:val="20"/>
        </w:rPr>
        <w:t>(New York: Columbia University Press,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49C" w:rsidRPr="000E0BAE" w:rsidRDefault="0079249C" w:rsidP="00F66DDD">
    <w:pPr>
      <w:pStyle w:val="En-tte"/>
      <w:jc w:val="right"/>
      <w:rPr>
        <w:i/>
        <w:sz w:val="20"/>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837C9"/>
    <w:multiLevelType w:val="hybridMultilevel"/>
    <w:tmpl w:val="BF908322"/>
    <w:lvl w:ilvl="0" w:tplc="2DDE0D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C12980"/>
    <w:multiLevelType w:val="hybridMultilevel"/>
    <w:tmpl w:val="12D276F8"/>
    <w:lvl w:ilvl="0" w:tplc="2DDE0D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C23542"/>
    <w:multiLevelType w:val="hybridMultilevel"/>
    <w:tmpl w:val="50E000E2"/>
    <w:lvl w:ilvl="0" w:tplc="D820CEF0">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trackRevision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DD"/>
    <w:rsid w:val="00057866"/>
    <w:rsid w:val="00126A52"/>
    <w:rsid w:val="00274643"/>
    <w:rsid w:val="00473694"/>
    <w:rsid w:val="00552F83"/>
    <w:rsid w:val="0071028A"/>
    <w:rsid w:val="0079249C"/>
    <w:rsid w:val="00840E22"/>
    <w:rsid w:val="009F6FBE"/>
    <w:rsid w:val="00A00055"/>
    <w:rsid w:val="00A635F1"/>
    <w:rsid w:val="00B13530"/>
    <w:rsid w:val="00BF4BF7"/>
    <w:rsid w:val="00CF6200"/>
    <w:rsid w:val="00D176DE"/>
    <w:rsid w:val="00DA0FF4"/>
    <w:rsid w:val="00E3143F"/>
    <w:rsid w:val="00EC48AC"/>
    <w:rsid w:val="00F66DDD"/>
    <w:rsid w:val="00F77B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Emphasis" w:uiPriority="20"/>
  </w:latentStyles>
  <w:style w:type="paragraph" w:default="1" w:styleId="Normal">
    <w:name w:val="Normal"/>
    <w:qFormat/>
    <w:rsid w:val="00F66D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6DDD"/>
    <w:rPr>
      <w:rFonts w:ascii="Lucida Grande" w:hAnsi="Lucida Grande"/>
      <w:sz w:val="18"/>
      <w:szCs w:val="18"/>
    </w:rPr>
  </w:style>
  <w:style w:type="character" w:customStyle="1" w:styleId="BallontekstTeken">
    <w:name w:val="Ballontekst Teken"/>
    <w:basedOn w:val="Policepardfaut"/>
    <w:uiPriority w:val="99"/>
    <w:semiHidden/>
    <w:rsid w:val="00F66DDD"/>
    <w:rPr>
      <w:rFonts w:ascii="Lucida Grande" w:hAnsi="Lucida Grande"/>
      <w:sz w:val="18"/>
      <w:szCs w:val="18"/>
    </w:rPr>
  </w:style>
  <w:style w:type="character" w:customStyle="1" w:styleId="TextedebullesCar">
    <w:name w:val="Texte de bulles Car"/>
    <w:basedOn w:val="Policepardfaut"/>
    <w:link w:val="Textedebulles"/>
    <w:uiPriority w:val="99"/>
    <w:semiHidden/>
    <w:rsid w:val="00F66DDD"/>
    <w:rPr>
      <w:rFonts w:ascii="Lucida Grande" w:hAnsi="Lucida Grande"/>
      <w:sz w:val="18"/>
      <w:szCs w:val="18"/>
    </w:rPr>
  </w:style>
  <w:style w:type="character" w:customStyle="1" w:styleId="Titre1">
    <w:name w:val="Titre1"/>
    <w:basedOn w:val="Policepardfaut"/>
    <w:rsid w:val="00F66DDD"/>
  </w:style>
  <w:style w:type="character" w:styleId="Lienhypertexte">
    <w:name w:val="Hyperlink"/>
    <w:basedOn w:val="Policepardfaut"/>
    <w:uiPriority w:val="99"/>
    <w:rsid w:val="00F66DDD"/>
    <w:rPr>
      <w:color w:val="0000FF"/>
      <w:u w:val="single"/>
    </w:rPr>
  </w:style>
  <w:style w:type="paragraph" w:styleId="Paragraphedeliste">
    <w:name w:val="List Paragraph"/>
    <w:basedOn w:val="Normal"/>
    <w:uiPriority w:val="34"/>
    <w:qFormat/>
    <w:rsid w:val="00F66DDD"/>
    <w:pPr>
      <w:ind w:left="720"/>
      <w:contextualSpacing/>
    </w:pPr>
  </w:style>
  <w:style w:type="paragraph" w:styleId="En-tte">
    <w:name w:val="header"/>
    <w:basedOn w:val="Normal"/>
    <w:link w:val="En-tteCar"/>
    <w:uiPriority w:val="99"/>
    <w:semiHidden/>
    <w:unhideWhenUsed/>
    <w:rsid w:val="00F66DDD"/>
    <w:pPr>
      <w:tabs>
        <w:tab w:val="center" w:pos="4536"/>
        <w:tab w:val="right" w:pos="9072"/>
      </w:tabs>
    </w:pPr>
  </w:style>
  <w:style w:type="character" w:customStyle="1" w:styleId="En-tteCar">
    <w:name w:val="En-tête Car"/>
    <w:basedOn w:val="Policepardfaut"/>
    <w:link w:val="En-tte"/>
    <w:uiPriority w:val="99"/>
    <w:semiHidden/>
    <w:rsid w:val="00F66DDD"/>
  </w:style>
  <w:style w:type="paragraph" w:styleId="Pieddepage">
    <w:name w:val="footer"/>
    <w:basedOn w:val="Normal"/>
    <w:link w:val="PieddepageCar"/>
    <w:uiPriority w:val="99"/>
    <w:semiHidden/>
    <w:unhideWhenUsed/>
    <w:rsid w:val="00F66DDD"/>
    <w:pPr>
      <w:tabs>
        <w:tab w:val="center" w:pos="4536"/>
        <w:tab w:val="right" w:pos="9072"/>
      </w:tabs>
    </w:pPr>
  </w:style>
  <w:style w:type="character" w:customStyle="1" w:styleId="PieddepageCar">
    <w:name w:val="Pied de page Car"/>
    <w:basedOn w:val="Policepardfaut"/>
    <w:link w:val="Pieddepage"/>
    <w:uiPriority w:val="99"/>
    <w:semiHidden/>
    <w:rsid w:val="00F66DDD"/>
  </w:style>
  <w:style w:type="character" w:styleId="Numrodepage">
    <w:name w:val="page number"/>
    <w:basedOn w:val="Policepardfaut"/>
    <w:uiPriority w:val="99"/>
    <w:semiHidden/>
    <w:unhideWhenUsed/>
    <w:rsid w:val="00F66DDD"/>
  </w:style>
  <w:style w:type="paragraph" w:styleId="Notedebasdepage">
    <w:name w:val="footnote text"/>
    <w:basedOn w:val="Normal"/>
    <w:link w:val="NotedebasdepageCar"/>
    <w:uiPriority w:val="99"/>
    <w:semiHidden/>
    <w:unhideWhenUsed/>
    <w:rsid w:val="00F66DDD"/>
  </w:style>
  <w:style w:type="character" w:customStyle="1" w:styleId="NotedebasdepageCar">
    <w:name w:val="Note de bas de page Car"/>
    <w:basedOn w:val="Policepardfaut"/>
    <w:link w:val="Notedebasdepage"/>
    <w:uiPriority w:val="99"/>
    <w:semiHidden/>
    <w:rsid w:val="00F66DDD"/>
  </w:style>
  <w:style w:type="character" w:styleId="Appelnotedebasdep">
    <w:name w:val="footnote reference"/>
    <w:basedOn w:val="Policepardfaut"/>
    <w:uiPriority w:val="99"/>
    <w:semiHidden/>
    <w:unhideWhenUsed/>
    <w:rsid w:val="00F66DDD"/>
    <w:rPr>
      <w:vertAlign w:val="superscript"/>
    </w:rPr>
  </w:style>
  <w:style w:type="character" w:styleId="Accentuation">
    <w:name w:val="Emphasis"/>
    <w:basedOn w:val="Policepardfaut"/>
    <w:uiPriority w:val="20"/>
    <w:rsid w:val="009F6FBE"/>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Emphasis" w:uiPriority="20"/>
  </w:latentStyles>
  <w:style w:type="paragraph" w:default="1" w:styleId="Normal">
    <w:name w:val="Normal"/>
    <w:qFormat/>
    <w:rsid w:val="00F66D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6DDD"/>
    <w:rPr>
      <w:rFonts w:ascii="Lucida Grande" w:hAnsi="Lucida Grande"/>
      <w:sz w:val="18"/>
      <w:szCs w:val="18"/>
    </w:rPr>
  </w:style>
  <w:style w:type="character" w:customStyle="1" w:styleId="BallontekstTeken">
    <w:name w:val="Ballontekst Teken"/>
    <w:basedOn w:val="Policepardfaut"/>
    <w:uiPriority w:val="99"/>
    <w:semiHidden/>
    <w:rsid w:val="00F66DDD"/>
    <w:rPr>
      <w:rFonts w:ascii="Lucida Grande" w:hAnsi="Lucida Grande"/>
      <w:sz w:val="18"/>
      <w:szCs w:val="18"/>
    </w:rPr>
  </w:style>
  <w:style w:type="character" w:customStyle="1" w:styleId="TextedebullesCar">
    <w:name w:val="Texte de bulles Car"/>
    <w:basedOn w:val="Policepardfaut"/>
    <w:link w:val="Textedebulles"/>
    <w:uiPriority w:val="99"/>
    <w:semiHidden/>
    <w:rsid w:val="00F66DDD"/>
    <w:rPr>
      <w:rFonts w:ascii="Lucida Grande" w:hAnsi="Lucida Grande"/>
      <w:sz w:val="18"/>
      <w:szCs w:val="18"/>
    </w:rPr>
  </w:style>
  <w:style w:type="character" w:customStyle="1" w:styleId="Titre1">
    <w:name w:val="Titre1"/>
    <w:basedOn w:val="Policepardfaut"/>
    <w:rsid w:val="00F66DDD"/>
  </w:style>
  <w:style w:type="character" w:styleId="Lienhypertexte">
    <w:name w:val="Hyperlink"/>
    <w:basedOn w:val="Policepardfaut"/>
    <w:uiPriority w:val="99"/>
    <w:rsid w:val="00F66DDD"/>
    <w:rPr>
      <w:color w:val="0000FF"/>
      <w:u w:val="single"/>
    </w:rPr>
  </w:style>
  <w:style w:type="paragraph" w:styleId="Paragraphedeliste">
    <w:name w:val="List Paragraph"/>
    <w:basedOn w:val="Normal"/>
    <w:uiPriority w:val="34"/>
    <w:qFormat/>
    <w:rsid w:val="00F66DDD"/>
    <w:pPr>
      <w:ind w:left="720"/>
      <w:contextualSpacing/>
    </w:pPr>
  </w:style>
  <w:style w:type="paragraph" w:styleId="En-tte">
    <w:name w:val="header"/>
    <w:basedOn w:val="Normal"/>
    <w:link w:val="En-tteCar"/>
    <w:uiPriority w:val="99"/>
    <w:semiHidden/>
    <w:unhideWhenUsed/>
    <w:rsid w:val="00F66DDD"/>
    <w:pPr>
      <w:tabs>
        <w:tab w:val="center" w:pos="4536"/>
        <w:tab w:val="right" w:pos="9072"/>
      </w:tabs>
    </w:pPr>
  </w:style>
  <w:style w:type="character" w:customStyle="1" w:styleId="En-tteCar">
    <w:name w:val="En-tête Car"/>
    <w:basedOn w:val="Policepardfaut"/>
    <w:link w:val="En-tte"/>
    <w:uiPriority w:val="99"/>
    <w:semiHidden/>
    <w:rsid w:val="00F66DDD"/>
  </w:style>
  <w:style w:type="paragraph" w:styleId="Pieddepage">
    <w:name w:val="footer"/>
    <w:basedOn w:val="Normal"/>
    <w:link w:val="PieddepageCar"/>
    <w:uiPriority w:val="99"/>
    <w:semiHidden/>
    <w:unhideWhenUsed/>
    <w:rsid w:val="00F66DDD"/>
    <w:pPr>
      <w:tabs>
        <w:tab w:val="center" w:pos="4536"/>
        <w:tab w:val="right" w:pos="9072"/>
      </w:tabs>
    </w:pPr>
  </w:style>
  <w:style w:type="character" w:customStyle="1" w:styleId="PieddepageCar">
    <w:name w:val="Pied de page Car"/>
    <w:basedOn w:val="Policepardfaut"/>
    <w:link w:val="Pieddepage"/>
    <w:uiPriority w:val="99"/>
    <w:semiHidden/>
    <w:rsid w:val="00F66DDD"/>
  </w:style>
  <w:style w:type="character" w:styleId="Numrodepage">
    <w:name w:val="page number"/>
    <w:basedOn w:val="Policepardfaut"/>
    <w:uiPriority w:val="99"/>
    <w:semiHidden/>
    <w:unhideWhenUsed/>
    <w:rsid w:val="00F66DDD"/>
  </w:style>
  <w:style w:type="paragraph" w:styleId="Notedebasdepage">
    <w:name w:val="footnote text"/>
    <w:basedOn w:val="Normal"/>
    <w:link w:val="NotedebasdepageCar"/>
    <w:uiPriority w:val="99"/>
    <w:semiHidden/>
    <w:unhideWhenUsed/>
    <w:rsid w:val="00F66DDD"/>
  </w:style>
  <w:style w:type="character" w:customStyle="1" w:styleId="NotedebasdepageCar">
    <w:name w:val="Note de bas de page Car"/>
    <w:basedOn w:val="Policepardfaut"/>
    <w:link w:val="Notedebasdepage"/>
    <w:uiPriority w:val="99"/>
    <w:semiHidden/>
    <w:rsid w:val="00F66DDD"/>
  </w:style>
  <w:style w:type="character" w:styleId="Appelnotedebasdep">
    <w:name w:val="footnote reference"/>
    <w:basedOn w:val="Policepardfaut"/>
    <w:uiPriority w:val="99"/>
    <w:semiHidden/>
    <w:unhideWhenUsed/>
    <w:rsid w:val="00F66DDD"/>
    <w:rPr>
      <w:vertAlign w:val="superscript"/>
    </w:rPr>
  </w:style>
  <w:style w:type="character" w:styleId="Accentuation">
    <w:name w:val="Emphasis"/>
    <w:basedOn w:val="Policepardfaut"/>
    <w:uiPriority w:val="20"/>
    <w:rsid w:val="009F6FB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2779</Words>
  <Characters>15287</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bracke</dc:creator>
  <cp:lastModifiedBy>Philippe Coppieters</cp:lastModifiedBy>
  <cp:revision>6</cp:revision>
  <dcterms:created xsi:type="dcterms:W3CDTF">2015-04-01T10:37:00Z</dcterms:created>
  <dcterms:modified xsi:type="dcterms:W3CDTF">2015-04-01T11:58:00Z</dcterms:modified>
</cp:coreProperties>
</file>